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5B5135" w:rsidRPr="005B5135">
        <w:rPr>
          <w:szCs w:val="22"/>
        </w:rPr>
        <w:t>выполнение работ по</w:t>
      </w:r>
      <w:r w:rsidR="008A28A4" w:rsidRPr="00711FC1">
        <w:rPr>
          <w:szCs w:val="22"/>
        </w:rPr>
        <w:t xml:space="preserve"> ремонту кровельного покрытия зданий цехов №1, Кат.производство, 4, 5, КМ-2, ЛТНиДО, 12, 13, ЦЗЛ, 15, 17, 19, 20, ВГСО, 23, 24</w:t>
      </w:r>
      <w:r w:rsidR="005B5135" w:rsidRPr="005B5135">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8A28A4">
        <w:rPr>
          <w:szCs w:val="22"/>
        </w:rPr>
        <w:t>.</w:t>
      </w:r>
    </w:p>
    <w:tbl>
      <w:tblPr>
        <w:tblW w:w="10375" w:type="dxa"/>
        <w:tblInd w:w="-25" w:type="dxa"/>
        <w:tblLayout w:type="fixed"/>
        <w:tblLook w:val="0000" w:firstRow="0" w:lastRow="0" w:firstColumn="0" w:lastColumn="0" w:noHBand="0" w:noVBand="0"/>
      </w:tblPr>
      <w:tblGrid>
        <w:gridCol w:w="573"/>
        <w:gridCol w:w="7782"/>
        <w:gridCol w:w="2020"/>
      </w:tblGrid>
      <w:tr w:rsidR="004029C5" w:rsidTr="001B0CDC">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7782"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2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F424A5">
            <w:pPr>
              <w:snapToGrid w:val="0"/>
              <w:spacing w:before="0"/>
              <w:rPr>
                <w:b/>
                <w:sz w:val="20"/>
                <w:szCs w:val="20"/>
              </w:rPr>
            </w:pPr>
            <w:r w:rsidRPr="004029C5">
              <w:rPr>
                <w:b/>
                <w:sz w:val="20"/>
                <w:szCs w:val="20"/>
              </w:rPr>
              <w:t>Объект</w:t>
            </w:r>
          </w:p>
        </w:tc>
      </w:tr>
      <w:tr w:rsidR="00C007C1" w:rsidRPr="009E080F" w:rsidTr="001B0CDC">
        <w:trPr>
          <w:cantSplit/>
          <w:trHeight w:hRule="exact" w:val="3071"/>
        </w:trPr>
        <w:tc>
          <w:tcPr>
            <w:tcW w:w="573" w:type="dxa"/>
            <w:tcBorders>
              <w:top w:val="single" w:sz="4" w:space="0" w:color="000000"/>
              <w:left w:val="single" w:sz="4" w:space="0" w:color="000000"/>
              <w:bottom w:val="single" w:sz="4" w:space="0" w:color="000000"/>
            </w:tcBorders>
            <w:shd w:val="clear" w:color="auto" w:fill="auto"/>
          </w:tcPr>
          <w:p w:rsidR="00C007C1" w:rsidRPr="008C7C95" w:rsidRDefault="00C007C1" w:rsidP="00C007C1">
            <w:pPr>
              <w:snapToGrid w:val="0"/>
              <w:spacing w:before="0"/>
              <w:rPr>
                <w:b/>
                <w:sz w:val="20"/>
                <w:szCs w:val="20"/>
              </w:rPr>
            </w:pPr>
          </w:p>
        </w:tc>
        <w:tc>
          <w:tcPr>
            <w:tcW w:w="7782" w:type="dxa"/>
            <w:tcBorders>
              <w:top w:val="single" w:sz="4" w:space="0" w:color="000000"/>
              <w:left w:val="single" w:sz="4" w:space="0" w:color="000000"/>
              <w:bottom w:val="single" w:sz="4" w:space="0" w:color="000000"/>
            </w:tcBorders>
            <w:shd w:val="clear" w:color="auto" w:fill="auto"/>
            <w:vAlign w:val="center"/>
          </w:tcPr>
          <w:p w:rsidR="00C007C1" w:rsidRPr="001B0CDC" w:rsidRDefault="00C007C1" w:rsidP="00C007C1">
            <w:pPr>
              <w:spacing w:before="0"/>
              <w:rPr>
                <w:sz w:val="20"/>
                <w:szCs w:val="20"/>
              </w:rPr>
            </w:pPr>
            <w:r w:rsidRPr="001B0CDC">
              <w:rPr>
                <w:sz w:val="20"/>
                <w:szCs w:val="20"/>
              </w:rPr>
              <w:t>1. Подготовительные мероприятия (демонтаж, разборка старого кровельного покрытия, отливов, козырьков, водоотводящих воронок, полос заземления, покрытия парапетов, ограждений, кирпичной кладки, бетонной стяжки, мембранного покрытия, гидроизоляции);</w:t>
            </w:r>
          </w:p>
          <w:p w:rsidR="00C007C1" w:rsidRPr="001B0CDC" w:rsidRDefault="00C007C1" w:rsidP="00C007C1">
            <w:pPr>
              <w:spacing w:before="0"/>
              <w:rPr>
                <w:sz w:val="20"/>
                <w:szCs w:val="20"/>
              </w:rPr>
            </w:pPr>
            <w:r w:rsidRPr="001B0CDC">
              <w:rPr>
                <w:sz w:val="20"/>
                <w:szCs w:val="20"/>
              </w:rPr>
              <w:t>2. Ремонт и монтаж новой гидроизоляции;</w:t>
            </w:r>
          </w:p>
          <w:p w:rsidR="00C007C1" w:rsidRPr="001B0CDC" w:rsidRDefault="00C007C1" w:rsidP="00C007C1">
            <w:pPr>
              <w:spacing w:before="0"/>
              <w:rPr>
                <w:sz w:val="20"/>
                <w:szCs w:val="20"/>
              </w:rPr>
            </w:pPr>
            <w:r w:rsidRPr="001B0CDC">
              <w:rPr>
                <w:sz w:val="20"/>
                <w:szCs w:val="20"/>
              </w:rPr>
              <w:t>3. Устройство и монтаж кровельного покрытия, отливов, козырьков, водоотводящих воронок, полос заземления, покрытия парапетов, ограждений, кирпичной кладки, бетонной стяжки;</w:t>
            </w:r>
          </w:p>
          <w:p w:rsidR="00C007C1" w:rsidRPr="001B0CDC" w:rsidRDefault="00C007C1" w:rsidP="00C007C1">
            <w:pPr>
              <w:spacing w:before="0"/>
              <w:rPr>
                <w:sz w:val="20"/>
                <w:szCs w:val="20"/>
              </w:rPr>
            </w:pPr>
            <w:r w:rsidRPr="001B0CDC">
              <w:rPr>
                <w:sz w:val="20"/>
                <w:szCs w:val="20"/>
              </w:rPr>
              <w:t>4. Гидроизоляция фундаментов;</w:t>
            </w:r>
          </w:p>
          <w:p w:rsidR="00C007C1" w:rsidRPr="001B0CDC" w:rsidRDefault="00C007C1" w:rsidP="00C007C1">
            <w:pPr>
              <w:spacing w:before="0"/>
              <w:rPr>
                <w:sz w:val="20"/>
                <w:szCs w:val="20"/>
              </w:rPr>
            </w:pPr>
            <w:r w:rsidRPr="001B0CDC">
              <w:rPr>
                <w:sz w:val="20"/>
                <w:szCs w:val="20"/>
              </w:rPr>
              <w:t>5. Уборка места работ вывоз металлолома и мусора.</w:t>
            </w:r>
          </w:p>
          <w:p w:rsidR="00C007C1" w:rsidRPr="001B0CDC" w:rsidRDefault="00C007C1" w:rsidP="00C007C1">
            <w:pPr>
              <w:snapToGrid w:val="0"/>
              <w:spacing w:before="0"/>
              <w:rPr>
                <w:sz w:val="20"/>
                <w:szCs w:val="20"/>
              </w:rPr>
            </w:pPr>
            <w:r w:rsidRPr="001B0CDC">
              <w:rPr>
                <w:sz w:val="20"/>
                <w:szCs w:val="20"/>
              </w:rPr>
              <w:t>Подробный перечень выполняемых работ указан в утвержденных дефектных ведомостях на Работы по ремонту кровельного покрытия зданий цехов №1, Кат.производство, 4, 5, КМ-2, ЛТНиДО, 12, 13, ЦЗЛ, 15, 17, 19, 20, ВГСО, 23, 24.</w:t>
            </w:r>
          </w:p>
          <w:p w:rsidR="00C007C1" w:rsidRPr="001B0CDC" w:rsidRDefault="00C007C1" w:rsidP="00C007C1">
            <w:pPr>
              <w:snapToGrid w:val="0"/>
              <w:spacing w:before="0"/>
              <w:rPr>
                <w:sz w:val="20"/>
                <w:szCs w:val="20"/>
              </w:rPr>
            </w:pPr>
          </w:p>
        </w:tc>
        <w:tc>
          <w:tcPr>
            <w:tcW w:w="2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07C1" w:rsidRPr="001B0CDC" w:rsidRDefault="00C007C1" w:rsidP="00C007C1">
            <w:pPr>
              <w:spacing w:before="0"/>
              <w:rPr>
                <w:sz w:val="20"/>
                <w:szCs w:val="20"/>
              </w:rPr>
            </w:pPr>
            <w:r w:rsidRPr="001B0CDC">
              <w:rPr>
                <w:sz w:val="20"/>
                <w:szCs w:val="20"/>
              </w:rPr>
              <w:t>Здания цехов №1, Кат.производство, 4, 5, КМ-2, ЛТНиДО, 12, 13, ЦЗЛ, 15, 17, 19, 20, ВГСО, 23, 24.</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Pr="00043A92" w:rsidRDefault="00EF1336" w:rsidP="00901A6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1B0CDC" w:rsidRPr="00727428">
        <w:rPr>
          <w:szCs w:val="22"/>
        </w:rPr>
        <w:t xml:space="preserve">начало работ – с даты подписания договора, окончание работ – </w:t>
      </w:r>
      <w:r w:rsidR="001B0CDC">
        <w:rPr>
          <w:szCs w:val="22"/>
        </w:rPr>
        <w:t>31 октября</w:t>
      </w:r>
      <w:r w:rsidR="001B0CDC" w:rsidRPr="00727428">
        <w:rPr>
          <w:szCs w:val="22"/>
        </w:rPr>
        <w:t xml:space="preserve"> </w:t>
      </w:r>
      <w:r w:rsidR="001B0CDC">
        <w:rPr>
          <w:szCs w:val="22"/>
        </w:rPr>
        <w:t>2018</w:t>
      </w:r>
      <w:r w:rsidR="001B0CDC" w:rsidRPr="00727428">
        <w:rPr>
          <w:szCs w:val="22"/>
        </w:rPr>
        <w:t xml:space="preserve"> г</w:t>
      </w:r>
      <w:r w:rsidR="001B0CDC">
        <w:rPr>
          <w:szCs w:val="22"/>
        </w:rPr>
        <w:t xml:space="preserve">. </w:t>
      </w:r>
      <w:r w:rsidR="001B0CDC" w:rsidRPr="00774474">
        <w:rPr>
          <w:szCs w:val="22"/>
        </w:rPr>
        <w:t>Окончание</w:t>
      </w:r>
      <w:r w:rsidR="001B0CDC">
        <w:rPr>
          <w:szCs w:val="22"/>
        </w:rPr>
        <w:t xml:space="preserve"> работ в целом и отдельных этапов (в случае их наличия) оформляются двусторонними актами выполненных работ</w:t>
      </w:r>
      <w:r w:rsidR="00901A68" w:rsidRPr="00043A92">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8B1DA0" w:rsidRDefault="008B1DA0" w:rsidP="008B1DA0">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8B1DA0" w:rsidRDefault="008B1DA0" w:rsidP="008B1DA0">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8B1DA0" w:rsidRPr="006777FD" w:rsidRDefault="008B1DA0" w:rsidP="008B1DA0">
      <w:pPr>
        <w:autoSpaceDE w:val="0"/>
        <w:ind w:firstLine="720"/>
        <w:jc w:val="both"/>
        <w:rPr>
          <w:szCs w:val="22"/>
        </w:rPr>
      </w:pPr>
      <w:r>
        <w:rPr>
          <w:szCs w:val="22"/>
        </w:rPr>
        <w:t xml:space="preserve">В случае возникновения </w:t>
      </w:r>
      <w:r w:rsidR="003213F9">
        <w:rPr>
          <w:szCs w:val="22"/>
        </w:rPr>
        <w:t>непредвиденных работ,</w:t>
      </w:r>
      <w:r>
        <w:rPr>
          <w:szCs w:val="22"/>
        </w:rPr>
        <w:t xml:space="preserve"> не указанных</w:t>
      </w:r>
      <w:r>
        <w:rPr>
          <w:color w:val="000000"/>
          <w:szCs w:val="22"/>
        </w:rPr>
        <w:t xml:space="preserve"> в дефектных ведомостях</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w:t>
      </w:r>
      <w:r w:rsidR="003213F9">
        <w:rPr>
          <w:color w:val="000000"/>
          <w:szCs w:val="22"/>
        </w:rPr>
        <w:t>и следующих</w:t>
      </w:r>
      <w:r>
        <w:rPr>
          <w:color w:val="000000"/>
          <w:szCs w:val="22"/>
        </w:rPr>
        <w:t xml:space="preserve">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9659" w:type="dxa"/>
        <w:tblInd w:w="240" w:type="dxa"/>
        <w:tblLayout w:type="fixed"/>
        <w:tblLook w:val="0000" w:firstRow="0" w:lastRow="0" w:firstColumn="0" w:lastColumn="0" w:noHBand="0" w:noVBand="0"/>
      </w:tblPr>
      <w:tblGrid>
        <w:gridCol w:w="7088"/>
        <w:gridCol w:w="1118"/>
        <w:gridCol w:w="1453"/>
      </w:tblGrid>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EA2FD2" w:rsidRDefault="008B1DA0" w:rsidP="0092424C">
            <w:pPr>
              <w:jc w:val="both"/>
            </w:pPr>
            <w:r w:rsidRPr="00EA2FD2">
              <w:rPr>
                <w:szCs w:val="22"/>
              </w:rPr>
              <w:t>Количество</w:t>
            </w: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296F78" w:rsidRDefault="008B1DA0" w:rsidP="0092424C">
            <w:pPr>
              <w:snapToGrid w:val="0"/>
              <w:rPr>
                <w:b/>
              </w:rPr>
            </w:pP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D73401" w:rsidRDefault="008B1DA0" w:rsidP="0092424C">
            <w:pPr>
              <w:snapToGrid w:val="0"/>
              <w:rPr>
                <w:b/>
                <w:highlight w:val="green"/>
              </w:rPr>
            </w:pP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D73401" w:rsidRDefault="008B1DA0" w:rsidP="0092424C">
            <w:pPr>
              <w:snapToGrid w:val="0"/>
              <w:rPr>
                <w:b/>
                <w:highlight w:val="green"/>
              </w:rPr>
            </w:pP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D73401" w:rsidRDefault="008B1DA0" w:rsidP="0092424C">
            <w:pPr>
              <w:snapToGrid w:val="0"/>
              <w:rPr>
                <w:b/>
                <w:highlight w:val="green"/>
              </w:rPr>
            </w:pP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D73401" w:rsidRDefault="008B1DA0" w:rsidP="0092424C">
            <w:pPr>
              <w:snapToGrid w:val="0"/>
              <w:rPr>
                <w:b/>
                <w:highlight w:val="green"/>
              </w:rPr>
            </w:pPr>
          </w:p>
        </w:tc>
      </w:tr>
      <w:tr w:rsidR="008B1DA0" w:rsidRPr="00EA2FD2" w:rsidTr="0092424C">
        <w:trPr>
          <w:trHeight w:val="180"/>
        </w:trPr>
        <w:tc>
          <w:tcPr>
            <w:tcW w:w="7088" w:type="dxa"/>
            <w:tcBorders>
              <w:top w:val="single" w:sz="4" w:space="0" w:color="000000"/>
              <w:left w:val="single" w:sz="4" w:space="0" w:color="000000"/>
              <w:bottom w:val="single" w:sz="4" w:space="0" w:color="000000"/>
            </w:tcBorders>
            <w:shd w:val="clear" w:color="auto" w:fill="auto"/>
          </w:tcPr>
          <w:p w:rsidR="008B1DA0" w:rsidRPr="008B1DA0" w:rsidRDefault="008B1DA0" w:rsidP="0092424C">
            <w:pPr>
              <w:jc w:val="both"/>
            </w:pPr>
            <w:r w:rsidRPr="008B1DA0">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8B1DA0" w:rsidRPr="00EA2FD2" w:rsidRDefault="008B1DA0" w:rsidP="0092424C">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B1DA0" w:rsidRPr="00D73401" w:rsidRDefault="008B1DA0" w:rsidP="0092424C">
            <w:pPr>
              <w:snapToGrid w:val="0"/>
              <w:rPr>
                <w:b/>
                <w:highlight w:val="green"/>
              </w:rPr>
            </w:pPr>
          </w:p>
        </w:tc>
      </w:tr>
    </w:tbl>
    <w:p w:rsidR="008B1DA0" w:rsidRDefault="008B1DA0" w:rsidP="008B1DA0">
      <w:pPr>
        <w:autoSpaceDE w:val="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B1DA0" w:rsidRDefault="008B1DA0" w:rsidP="008B1DA0">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B1DA0" w:rsidRDefault="008B1DA0" w:rsidP="008B1DA0">
      <w:pPr>
        <w:ind w:firstLine="567"/>
        <w:jc w:val="both"/>
        <w:rPr>
          <w:szCs w:val="22"/>
        </w:rPr>
      </w:pPr>
      <w:r>
        <w:rPr>
          <w:szCs w:val="22"/>
        </w:rPr>
        <w:t xml:space="preserve">Стоимость опциона - не более 15 </w:t>
      </w:r>
      <w:r w:rsidRPr="00774474">
        <w:rPr>
          <w:szCs w:val="22"/>
        </w:rPr>
        <w:t>% от стоимости работ по Договору, указанной в п. 3.1.</w:t>
      </w:r>
    </w:p>
    <w:p w:rsidR="008B1DA0" w:rsidRDefault="008B1DA0" w:rsidP="008B1DA0">
      <w:pPr>
        <w:ind w:firstLine="709"/>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8B1DA0" w:rsidRPr="006A726D" w:rsidRDefault="008B1DA0" w:rsidP="008B1DA0">
      <w:pPr>
        <w:ind w:firstLine="709"/>
        <w:jc w:val="both"/>
        <w:rPr>
          <w:szCs w:val="22"/>
        </w:rPr>
      </w:pPr>
      <w:r w:rsidRPr="006A726D">
        <w:rPr>
          <w:szCs w:val="22"/>
        </w:rPr>
        <w:t>Выбор подрядчика на проведение комплекса работ будет осуществляться в два этапа:</w:t>
      </w:r>
    </w:p>
    <w:p w:rsidR="008B1DA0" w:rsidRPr="006A726D" w:rsidRDefault="008B1DA0" w:rsidP="008B1DA0">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8B1DA0" w:rsidRPr="006A726D" w:rsidRDefault="008B1DA0" w:rsidP="008B1DA0">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8B1DA0" w:rsidRDefault="008B1DA0" w:rsidP="008B1DA0">
      <w:pPr>
        <w:spacing w:before="0"/>
        <w:ind w:firstLine="709"/>
        <w:jc w:val="both"/>
        <w:rPr>
          <w:b/>
          <w:szCs w:val="22"/>
        </w:rPr>
      </w:pPr>
      <w:r w:rsidRPr="006A726D">
        <w:rPr>
          <w:szCs w:val="22"/>
        </w:rPr>
        <w:t xml:space="preserve">- твердая договорная цена на </w:t>
      </w:r>
      <w:r>
        <w:rPr>
          <w:szCs w:val="22"/>
        </w:rPr>
        <w:t>р</w:t>
      </w:r>
      <w:r w:rsidRPr="00711FC1">
        <w:rPr>
          <w:szCs w:val="22"/>
        </w:rPr>
        <w:t>аботы по ремонту кровельного покрытия зданий цехов №1, Кат.производство, 4, 5, КМ-2, ЛТНиДО, 12, 13, ЦЗ</w:t>
      </w:r>
      <w:r>
        <w:rPr>
          <w:szCs w:val="22"/>
        </w:rPr>
        <w:t>Л, 15, 17, 19, 20, ВГСО, 23, 24</w:t>
      </w:r>
      <w:r>
        <w:rPr>
          <w:b/>
          <w:szCs w:val="22"/>
        </w:rPr>
        <w:t xml:space="preserve">, </w:t>
      </w:r>
      <w:r w:rsidRPr="00396962">
        <w:rPr>
          <w:b/>
          <w:szCs w:val="22"/>
        </w:rPr>
        <w:t>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 необходи</w:t>
      </w:r>
      <w:r>
        <w:rPr>
          <w:b/>
          <w:szCs w:val="22"/>
        </w:rPr>
        <w:t>мых для выполнения данных работ;</w:t>
      </w:r>
    </w:p>
    <w:p w:rsidR="008C7C95" w:rsidRPr="00043A92" w:rsidRDefault="008B1DA0" w:rsidP="008B1DA0">
      <w:pPr>
        <w:spacing w:before="0"/>
        <w:ind w:firstLine="709"/>
        <w:jc w:val="both"/>
        <w:rPr>
          <w:rFonts w:cs="Arial"/>
          <w:b/>
          <w:szCs w:val="22"/>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w:t>
      </w:r>
      <w:r>
        <w:rPr>
          <w:szCs w:val="22"/>
        </w:rPr>
        <w:t xml:space="preserve"> </w:t>
      </w:r>
      <w:r w:rsidR="00043A92" w:rsidRPr="00043A92">
        <w:rPr>
          <w:szCs w:val="22"/>
        </w:rPr>
        <w:t xml:space="preserve">с «Методикой оценки регламентов определения стоимости </w:t>
      </w:r>
      <w:r w:rsidRPr="00043A92">
        <w:rPr>
          <w:szCs w:val="22"/>
        </w:rPr>
        <w:t xml:space="preserve">работ» </w:t>
      </w:r>
      <w:r w:rsidRPr="00043A92">
        <w:rPr>
          <w:rFonts w:cs="Arial"/>
          <w:szCs w:val="22"/>
        </w:rPr>
        <w:t>(</w:t>
      </w:r>
      <w:r w:rsidR="009E080F" w:rsidRPr="00043A92">
        <w:rPr>
          <w:rFonts w:cs="Arial"/>
          <w:szCs w:val="22"/>
        </w:rPr>
        <w:t>по Форме 1</w:t>
      </w:r>
      <w:r w:rsidR="000D43CD" w:rsidRPr="00043A92">
        <w:rPr>
          <w:rFonts w:cs="Arial"/>
          <w:szCs w:val="22"/>
        </w:rPr>
        <w:t>2</w:t>
      </w:r>
      <w:r w:rsidR="009E080F" w:rsidRPr="00043A92">
        <w:rPr>
          <w:rFonts w:cs="Arial"/>
          <w:szCs w:val="22"/>
        </w:rPr>
        <w:t xml:space="preserve"> ПДО)</w:t>
      </w:r>
      <w:r w:rsidR="008C7C95" w:rsidRPr="00043A92">
        <w:rPr>
          <w:rFonts w:cs="Arial"/>
          <w:b/>
          <w:szCs w:val="22"/>
        </w:rPr>
        <w:t>.</w:t>
      </w:r>
    </w:p>
    <w:p w:rsidR="00864B74" w:rsidRDefault="008F0C98" w:rsidP="00864B74">
      <w:pPr>
        <w:autoSpaceDE w:val="0"/>
        <w:spacing w:before="0"/>
        <w:jc w:val="both"/>
        <w:rPr>
          <w:szCs w:val="22"/>
        </w:rPr>
      </w:pPr>
      <w:r w:rsidRPr="006E2A11">
        <w:rPr>
          <w:rFonts w:cs="Arial"/>
          <w:b/>
          <w:szCs w:val="22"/>
          <w:u w:val="single"/>
        </w:rPr>
        <w:t>Проектно-техническая документация:</w:t>
      </w:r>
      <w:r w:rsidR="00383FC0">
        <w:rPr>
          <w:b/>
          <w:szCs w:val="22"/>
        </w:rPr>
        <w:t xml:space="preserve"> </w:t>
      </w:r>
    </w:p>
    <w:p w:rsidR="004978C7" w:rsidRPr="004978C7" w:rsidRDefault="008B1DA0" w:rsidP="004978C7">
      <w:pPr>
        <w:autoSpaceDE w:val="0"/>
        <w:spacing w:before="0"/>
        <w:jc w:val="both"/>
        <w:rPr>
          <w:bCs/>
          <w:color w:val="000000"/>
          <w:szCs w:val="22"/>
        </w:rPr>
      </w:pPr>
      <w:r>
        <w:rPr>
          <w:b/>
          <w:szCs w:val="22"/>
        </w:rPr>
        <w:t xml:space="preserve">   </w:t>
      </w:r>
      <w:r w:rsidRPr="00106B40">
        <w:rPr>
          <w:b/>
          <w:szCs w:val="22"/>
        </w:rPr>
        <w:t xml:space="preserve"> </w:t>
      </w:r>
      <w:r>
        <w:rPr>
          <w:b/>
          <w:szCs w:val="22"/>
        </w:rPr>
        <w:t xml:space="preserve">  </w:t>
      </w:r>
      <w:r>
        <w:rPr>
          <w:szCs w:val="22"/>
        </w:rPr>
        <w:t>Утвержденные дефектные ведомости на р</w:t>
      </w:r>
      <w:r w:rsidRPr="00711FC1">
        <w:rPr>
          <w:szCs w:val="22"/>
        </w:rPr>
        <w:t>аботы по ремонту кровельного покрытия зданий цехов № 1, Кат.производство, 4, 5, КМ-2, ЛТНиДО, 12, 13, ЦЗ</w:t>
      </w:r>
      <w:r>
        <w:rPr>
          <w:szCs w:val="22"/>
        </w:rPr>
        <w:t xml:space="preserve">Л, 15, 17, 19, 20, ВГСО, 23, 24, локальные </w:t>
      </w:r>
      <w:r w:rsidRPr="00A54FA9">
        <w:rPr>
          <w:szCs w:val="22"/>
        </w:rPr>
        <w:t>сметы №141-2017, 144-2017, 143-2017, 145-2017, 146-2017, 147-2017, 148-2017; 149-2017, 151-2017, 153-2017, 150-2017; 152-2017, 154-2017, 155-2017, 156-2017, 157-2017, 25-2018; 160-2017, 158-2017, 159-2017, 133-2017, 162-2017, 142-2017; 163-2017, 164-2017, 161-2017, 165-2017; 166-2017; 167-2017, 168-2017; 169-2017; 170-2017, 171-2017, 172-2017, 173-2017; 174-2017, 175-2017, 134-2017, 138-2017, 136-2017; 15-2018; 137-2017; 135-2017; 139-2017, 140-2017 на работы по ремонту кровельного покрытия зданий цехов №1, Кат.производство, 4, 5, КМ-2, ЛТНиДО, 12, 13, ЦЗЛ, 15, 17, 19, 20, ВГСО, 23, 24 вне</w:t>
      </w:r>
      <w:r>
        <w:rPr>
          <w:szCs w:val="22"/>
        </w:rPr>
        <w:t xml:space="preserve"> графика простоев</w:t>
      </w:r>
      <w:r w:rsidRPr="00043A92">
        <w:rPr>
          <w:color w:val="000000"/>
          <w:szCs w:val="22"/>
        </w:rPr>
        <w:t xml:space="preserve"> </w:t>
      </w:r>
      <w:r w:rsidR="00043A92" w:rsidRPr="00043A92">
        <w:rPr>
          <w:color w:val="000000"/>
          <w:szCs w:val="22"/>
        </w:rPr>
        <w:t xml:space="preserve">передаются </w:t>
      </w:r>
      <w:r w:rsidR="004978C7" w:rsidRPr="004978C7">
        <w:rPr>
          <w:bCs/>
          <w:color w:val="000000"/>
          <w:szCs w:val="22"/>
        </w:rPr>
        <w:t>Контрагентам в электронном виде по ссылке:</w:t>
      </w:r>
    </w:p>
    <w:p w:rsidR="008F0C98" w:rsidRPr="00043A92" w:rsidRDefault="00D65A74" w:rsidP="00864B74">
      <w:pPr>
        <w:autoSpaceDE w:val="0"/>
        <w:spacing w:before="0"/>
        <w:jc w:val="both"/>
        <w:rPr>
          <w:szCs w:val="22"/>
        </w:rPr>
      </w:pPr>
      <w:hyperlink r:id="rId7" w:history="1">
        <w:r w:rsidR="004978C7" w:rsidRPr="00505A3D">
          <w:rPr>
            <w:rStyle w:val="ae"/>
            <w:szCs w:val="22"/>
          </w:rPr>
          <w:t>http://yanos.slavneft.ru/files/PDO137-KR-2018_636585237895417665.7z</w:t>
        </w:r>
      </w:hyperlink>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864B74">
        <w:rPr>
          <w:szCs w:val="22"/>
        </w:rPr>
        <w:t>СП 16.13330.2011, СП 63.13330.2012, СП 70.13330.2012, СП 45.13330.2012, СП 75.13330.2011, СП 61.13330.2012, СП 126.13330.2012</w:t>
      </w:r>
      <w:r w:rsidR="00864B74"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Локальные сметы</w:t>
      </w:r>
      <w:r w:rsidRPr="004C3C72">
        <w:rPr>
          <w:b/>
          <w:sz w:val="24"/>
        </w:rPr>
        <w:t xml:space="preserve"> </w:t>
      </w:r>
      <w:r w:rsidRPr="000663CA">
        <w:rPr>
          <w:b/>
          <w:szCs w:val="22"/>
        </w:rPr>
        <w:t>№</w:t>
      </w:r>
      <w:r w:rsidR="007A7FBB" w:rsidRPr="000663CA">
        <w:rPr>
          <w:b/>
          <w:szCs w:val="22"/>
        </w:rPr>
        <w:t>141-2017, 144-2017, 143-2017, 145-2017, 146-2017</w:t>
      </w:r>
      <w:r w:rsidR="007A7FBB" w:rsidRPr="00A54FA9">
        <w:rPr>
          <w:b/>
          <w:szCs w:val="22"/>
        </w:rPr>
        <w:t xml:space="preserve">, 147-2017, </w:t>
      </w:r>
      <w:r w:rsidR="007A7FBB" w:rsidRPr="000663CA">
        <w:rPr>
          <w:b/>
          <w:szCs w:val="22"/>
        </w:rPr>
        <w:t>148-2017; 149-2017, 151-2017, 153-2017, 150-2017; 152-2017, 154-2017, 155-2017, 156-2017, 157-2017, 25-2018; 160-2017, 158-2017, 159-2017, 133-2017, 162-2017, 142-</w:t>
      </w:r>
      <w:r w:rsidR="007A7FBB" w:rsidRPr="00A54FA9">
        <w:rPr>
          <w:b/>
          <w:szCs w:val="22"/>
        </w:rPr>
        <w:t>2017; 163-2017, 164-2017, 161-2017, 165-2017; 166-2017; 167-2017, 168-2017; 169-2017; 170-2017, 171-2017, 172-2017, 173-2017; 174-2017, 175-2017, 134-2017, 138-2017, 136-2017; 15-2018; 137-2017; 135-2017; 139-2017, 140-2017</w:t>
      </w:r>
      <w:r w:rsidRPr="00A54FA9">
        <w:rPr>
          <w:b/>
          <w:szCs w:val="22"/>
        </w:rPr>
        <w:t>,</w:t>
      </w:r>
      <w:r w:rsidRPr="00864B74">
        <w:rPr>
          <w:b/>
          <w:szCs w:val="22"/>
        </w:rPr>
        <w:t xml:space="preserve"> представленные</w:t>
      </w:r>
      <w:r w:rsidRPr="00296F78">
        <w:rPr>
          <w:b/>
          <w:szCs w:val="22"/>
        </w:rPr>
        <w:t xml:space="preserve"> в составе проектно-технической документации изменениям со стороны контрагентов не подлежат</w:t>
      </w:r>
      <w:r w:rsidR="00DE65E5">
        <w:rPr>
          <w:b/>
          <w:szCs w:val="22"/>
        </w:rPr>
        <w:t>.</w:t>
      </w:r>
    </w:p>
    <w:p w:rsidR="00EF1336" w:rsidRPr="00FF5F51" w:rsidRDefault="00EF1336" w:rsidP="00FF5F51">
      <w:pPr>
        <w:pStyle w:val="ac"/>
        <w:numPr>
          <w:ilvl w:val="0"/>
          <w:numId w:val="13"/>
        </w:numPr>
        <w:autoSpaceDE w:val="0"/>
        <w:jc w:val="both"/>
        <w:rPr>
          <w:rFonts w:cs="Arial"/>
          <w:b/>
          <w:iCs/>
          <w:szCs w:val="22"/>
        </w:rPr>
      </w:pPr>
      <w:r w:rsidRPr="00FF5F51">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402"/>
        <w:gridCol w:w="2694"/>
        <w:gridCol w:w="1842"/>
        <w:gridCol w:w="1701"/>
        <w:gridCol w:w="750"/>
      </w:tblGrid>
      <w:tr w:rsidR="00FF5F51" w:rsidTr="0098210D">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bCs/>
                <w:sz w:val="20"/>
                <w:szCs w:val="20"/>
              </w:rPr>
            </w:pPr>
            <w:r w:rsidRPr="00FF5F51">
              <w:rPr>
                <w:rFonts w:cs="Arial"/>
                <w:b/>
                <w:bCs/>
                <w:sz w:val="20"/>
                <w:szCs w:val="20"/>
              </w:rPr>
              <w:t>№ п/п</w:t>
            </w:r>
          </w:p>
        </w:tc>
        <w:tc>
          <w:tcPr>
            <w:tcW w:w="340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bCs/>
                <w:sz w:val="20"/>
                <w:szCs w:val="20"/>
              </w:rPr>
            </w:pPr>
            <w:r w:rsidRPr="00FF5F51">
              <w:rPr>
                <w:rFonts w:cs="Arial"/>
                <w:b/>
                <w:bCs/>
                <w:sz w:val="20"/>
                <w:szCs w:val="20"/>
              </w:rPr>
              <w:t xml:space="preserve">Требование </w:t>
            </w:r>
            <w:r w:rsidRPr="00FF5F51">
              <w:rPr>
                <w:rFonts w:cs="Arial"/>
                <w:b/>
                <w:bCs/>
                <w:sz w:val="20"/>
                <w:szCs w:val="20"/>
              </w:rPr>
              <w:br/>
              <w:t>(параметр оценки)</w:t>
            </w:r>
          </w:p>
        </w:tc>
        <w:tc>
          <w:tcPr>
            <w:tcW w:w="2694"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bCs/>
                <w:sz w:val="20"/>
                <w:szCs w:val="20"/>
              </w:rPr>
            </w:pPr>
            <w:r w:rsidRPr="00FF5F51">
              <w:rPr>
                <w:rFonts w:cs="Arial"/>
                <w:b/>
                <w:bCs/>
                <w:sz w:val="20"/>
                <w:szCs w:val="20"/>
              </w:rPr>
              <w:t>Документы, подтверждающие соответствия требованию</w:t>
            </w:r>
          </w:p>
        </w:tc>
        <w:tc>
          <w:tcPr>
            <w:tcW w:w="184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bCs/>
                <w:sz w:val="20"/>
                <w:szCs w:val="20"/>
              </w:rPr>
            </w:pPr>
            <w:r w:rsidRPr="00FF5F51">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5F51" w:rsidRPr="00FF5F51" w:rsidRDefault="00FF5F51" w:rsidP="0092424C">
            <w:pPr>
              <w:rPr>
                <w:rFonts w:cs="Arial"/>
                <w:b/>
                <w:bCs/>
                <w:sz w:val="20"/>
                <w:szCs w:val="20"/>
              </w:rPr>
            </w:pPr>
            <w:r w:rsidRPr="00FF5F51">
              <w:rPr>
                <w:rFonts w:cs="Arial"/>
                <w:b/>
                <w:bCs/>
                <w:sz w:val="20"/>
                <w:szCs w:val="20"/>
              </w:rPr>
              <w:t>Условия соответствия</w:t>
            </w:r>
          </w:p>
        </w:tc>
      </w:tr>
      <w:tr w:rsidR="00FF5F51" w:rsidTr="0098210D">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sz w:val="20"/>
                <w:szCs w:val="20"/>
              </w:rPr>
            </w:pPr>
            <w:r w:rsidRPr="00FF5F51">
              <w:rPr>
                <w:rFonts w:cs="Arial"/>
                <w:b/>
                <w:sz w:val="20"/>
                <w:szCs w:val="20"/>
              </w:rPr>
              <w:t>1</w:t>
            </w:r>
          </w:p>
        </w:tc>
        <w:tc>
          <w:tcPr>
            <w:tcW w:w="340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sz w:val="20"/>
                <w:szCs w:val="20"/>
              </w:rPr>
            </w:pPr>
            <w:r w:rsidRPr="00FF5F51">
              <w:rPr>
                <w:rFonts w:cs="Arial"/>
                <w:b/>
                <w:sz w:val="20"/>
                <w:szCs w:val="20"/>
              </w:rPr>
              <w:t>2</w:t>
            </w:r>
          </w:p>
        </w:tc>
        <w:tc>
          <w:tcPr>
            <w:tcW w:w="2694"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sz w:val="20"/>
                <w:szCs w:val="20"/>
              </w:rPr>
            </w:pPr>
            <w:r w:rsidRPr="00FF5F51">
              <w:rPr>
                <w:rFonts w:cs="Arial"/>
                <w:b/>
                <w:sz w:val="20"/>
                <w:szCs w:val="20"/>
              </w:rPr>
              <w:t>3</w:t>
            </w:r>
          </w:p>
        </w:tc>
        <w:tc>
          <w:tcPr>
            <w:tcW w:w="1842" w:type="dxa"/>
            <w:tcBorders>
              <w:top w:val="single" w:sz="4" w:space="0" w:color="000000"/>
              <w:left w:val="single" w:sz="4" w:space="0" w:color="000000"/>
              <w:bottom w:val="single" w:sz="4" w:space="0" w:color="000000"/>
            </w:tcBorders>
            <w:shd w:val="clear" w:color="auto" w:fill="D9D9D9"/>
            <w:vAlign w:val="center"/>
          </w:tcPr>
          <w:p w:rsidR="00FF5F51" w:rsidRPr="00FF5F51" w:rsidRDefault="00FF5F51" w:rsidP="0092424C">
            <w:pPr>
              <w:rPr>
                <w:rFonts w:cs="Arial"/>
                <w:b/>
                <w:sz w:val="20"/>
                <w:szCs w:val="20"/>
              </w:rPr>
            </w:pPr>
            <w:r w:rsidRPr="00FF5F51">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5F51" w:rsidRPr="00FF5F51" w:rsidRDefault="00FF5F51" w:rsidP="0092424C">
            <w:pPr>
              <w:rPr>
                <w:rFonts w:cs="Arial"/>
                <w:sz w:val="20"/>
                <w:szCs w:val="20"/>
              </w:rPr>
            </w:pPr>
            <w:r w:rsidRPr="00FF5F51">
              <w:rPr>
                <w:rFonts w:cs="Arial"/>
                <w:b/>
                <w:sz w:val="20"/>
                <w:szCs w:val="20"/>
              </w:rPr>
              <w:t>5</w:t>
            </w:r>
          </w:p>
        </w:tc>
      </w:tr>
      <w:tr w:rsidR="00FF5F51" w:rsidRPr="00373B2B" w:rsidTr="0098210D">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1</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Среднегодовой объем выполненных общестроительных СМР, в том числе по устройству, ремонту кровельного покрытия зданий и сооружений  строительных конструкций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cs="Arial"/>
                <w:sz w:val="20"/>
                <w:szCs w:val="20"/>
                <w:shd w:val="clear" w:color="auto" w:fill="FFFF00"/>
              </w:rPr>
            </w:pPr>
            <w:r w:rsidRPr="00DC6EBC">
              <w:rPr>
                <w:rFonts w:cs="Arial"/>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ind w:left="34"/>
              <w:jc w:val="both"/>
              <w:rPr>
                <w:rFonts w:cs="Arial"/>
                <w:sz w:val="20"/>
                <w:szCs w:val="20"/>
              </w:rPr>
            </w:pPr>
            <w:r>
              <w:rPr>
                <w:rFonts w:cs="Arial"/>
                <w:sz w:val="20"/>
                <w:szCs w:val="20"/>
              </w:rPr>
              <w:t>р</w:t>
            </w:r>
            <w:r w:rsidRPr="00FF5F51">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 xml:space="preserve"> 30 000 000 </w:t>
            </w:r>
          </w:p>
          <w:p w:rsidR="00FF5F51" w:rsidRPr="00FF5F51" w:rsidRDefault="00FF5F51" w:rsidP="0092424C">
            <w:pPr>
              <w:autoSpaceDE w:val="0"/>
              <w:jc w:val="both"/>
              <w:rPr>
                <w:rFonts w:cs="Arial"/>
                <w:sz w:val="20"/>
                <w:szCs w:val="20"/>
              </w:rPr>
            </w:pPr>
            <w:r w:rsidRPr="00FF5F51">
              <w:rPr>
                <w:rFonts w:cs="Arial"/>
                <w:sz w:val="20"/>
                <w:szCs w:val="20"/>
              </w:rPr>
              <w:t>и более</w:t>
            </w:r>
          </w:p>
        </w:tc>
      </w:tr>
      <w:tr w:rsidR="00FF5F51" w:rsidRPr="009571D3" w:rsidTr="0098210D">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2</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ind w:left="34"/>
              <w:jc w:val="both"/>
              <w:rPr>
                <w:rFonts w:cs="Arial"/>
                <w:sz w:val="20"/>
                <w:szCs w:val="20"/>
              </w:rPr>
            </w:pPr>
            <w:r w:rsidRPr="00FF5F51">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tabs>
                <w:tab w:val="left" w:pos="644"/>
              </w:tabs>
              <w:autoSpaceDE w:val="0"/>
              <w:ind w:left="34"/>
              <w:jc w:val="both"/>
              <w:rPr>
                <w:rFonts w:cs="Arial"/>
                <w:sz w:val="20"/>
                <w:szCs w:val="20"/>
              </w:rPr>
            </w:pPr>
            <w:r w:rsidRPr="00DC6EBC">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98210D" w:rsidP="0098210D">
            <w:pPr>
              <w:rPr>
                <w:rFonts w:cs="Arial"/>
                <w:sz w:val="20"/>
                <w:szCs w:val="20"/>
              </w:rPr>
            </w:pPr>
            <w:r>
              <w:rPr>
                <w:rFonts w:cs="Arial"/>
                <w:sz w:val="20"/>
                <w:szCs w:val="20"/>
              </w:rPr>
              <w:t>н</w:t>
            </w:r>
            <w:r w:rsidR="00FF5F51" w:rsidRPr="00FF5F5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8210D">
            <w:pPr>
              <w:rPr>
                <w:rFonts w:cs="Arial"/>
                <w:sz w:val="20"/>
                <w:szCs w:val="20"/>
              </w:rPr>
            </w:pPr>
            <w:r w:rsidRPr="00FF5F51">
              <w:rPr>
                <w:rFonts w:cs="Arial"/>
                <w:sz w:val="20"/>
                <w:szCs w:val="20"/>
              </w:rPr>
              <w:t>наличие</w:t>
            </w:r>
          </w:p>
        </w:tc>
      </w:tr>
      <w:tr w:rsidR="00FF5F51" w:rsidRPr="00E77012" w:rsidTr="0098210D">
        <w:trPr>
          <w:trHeight w:val="2079"/>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3</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cs="Arial"/>
                <w:sz w:val="20"/>
                <w:szCs w:val="20"/>
              </w:rPr>
            </w:pPr>
            <w:r w:rsidRPr="00DC6EBC">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842" w:type="dxa"/>
            <w:tcBorders>
              <w:top w:val="single" w:sz="4" w:space="0" w:color="000000"/>
              <w:left w:val="single" w:sz="4" w:space="0" w:color="000000"/>
              <w:bottom w:val="single" w:sz="4" w:space="0" w:color="000000"/>
            </w:tcBorders>
            <w:shd w:val="clear" w:color="auto" w:fill="auto"/>
          </w:tcPr>
          <w:p w:rsidR="00FF5F51" w:rsidRPr="00FF5F51" w:rsidRDefault="0098210D" w:rsidP="0092424C">
            <w:pPr>
              <w:rPr>
                <w:rFonts w:cs="Arial"/>
                <w:sz w:val="20"/>
                <w:szCs w:val="20"/>
              </w:rPr>
            </w:pPr>
            <w:r>
              <w:rPr>
                <w:rFonts w:cs="Arial"/>
                <w:sz w:val="20"/>
                <w:szCs w:val="20"/>
              </w:rPr>
              <w:t>н</w:t>
            </w:r>
            <w:r w:rsidR="00FF5F51" w:rsidRPr="00FF5F5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наличие</w:t>
            </w:r>
          </w:p>
        </w:tc>
        <w:tc>
          <w:tcPr>
            <w:tcW w:w="750" w:type="dxa"/>
            <w:vAlign w:val="center"/>
          </w:tcPr>
          <w:p w:rsidR="00FF5F51" w:rsidRPr="00E77012" w:rsidRDefault="00FF5F51" w:rsidP="0092424C">
            <w:pPr>
              <w:rPr>
                <w:rFonts w:cs="Arial"/>
              </w:rPr>
            </w:pPr>
          </w:p>
        </w:tc>
      </w:tr>
      <w:tr w:rsidR="00FF5F51" w:rsidRPr="00E77012" w:rsidTr="0098210D">
        <w:trPr>
          <w:trHeight w:val="437"/>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4</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ind w:left="34"/>
              <w:jc w:val="both"/>
              <w:rPr>
                <w:rFonts w:eastAsia="Calibri" w:cs="Arial"/>
                <w:sz w:val="20"/>
                <w:szCs w:val="20"/>
              </w:rPr>
            </w:pPr>
            <w:r w:rsidRPr="00FF5F51">
              <w:rPr>
                <w:rFonts w:cs="Arial"/>
                <w:sz w:val="20"/>
                <w:szCs w:val="20"/>
              </w:rPr>
              <w:t>Для обеспечения работ организация должна иметь:</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eastAsia="Calibri"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p>
        </w:tc>
        <w:tc>
          <w:tcPr>
            <w:tcW w:w="750" w:type="dxa"/>
            <w:vAlign w:val="center"/>
          </w:tcPr>
          <w:p w:rsidR="00FF5F51" w:rsidRPr="00E77012" w:rsidRDefault="00FF5F51" w:rsidP="0092424C">
            <w:pPr>
              <w:rPr>
                <w:rFonts w:cs="Arial"/>
              </w:rPr>
            </w:pPr>
          </w:p>
        </w:tc>
      </w:tr>
      <w:tr w:rsidR="00FF5F51" w:rsidRPr="00E77012" w:rsidTr="0098210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4.1</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 Политику в области ПБ, ОТ и ОС</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cs="Arial"/>
                <w:sz w:val="20"/>
                <w:szCs w:val="20"/>
              </w:rPr>
            </w:pPr>
            <w:r w:rsidRPr="00DC6EBC">
              <w:rPr>
                <w:rFonts w:cs="Arial"/>
                <w:sz w:val="20"/>
                <w:szCs w:val="20"/>
              </w:rPr>
              <w:t>Копия Политики в области ПБ, ОТ и ОС</w:t>
            </w:r>
          </w:p>
        </w:tc>
        <w:tc>
          <w:tcPr>
            <w:tcW w:w="1842" w:type="dxa"/>
            <w:tcBorders>
              <w:top w:val="single" w:sz="4" w:space="0" w:color="000000"/>
              <w:left w:val="single" w:sz="4" w:space="0" w:color="000000"/>
              <w:bottom w:val="single" w:sz="4" w:space="0" w:color="000000"/>
            </w:tcBorders>
            <w:shd w:val="clear" w:color="auto" w:fill="auto"/>
          </w:tcPr>
          <w:p w:rsidR="00FF5F51" w:rsidRPr="00FF5F51" w:rsidRDefault="0098210D" w:rsidP="0092424C">
            <w:pPr>
              <w:rPr>
                <w:rFonts w:cs="Arial"/>
                <w:sz w:val="20"/>
                <w:szCs w:val="20"/>
              </w:rPr>
            </w:pPr>
            <w:r>
              <w:rPr>
                <w:rFonts w:cs="Arial"/>
                <w:sz w:val="20"/>
                <w:szCs w:val="20"/>
              </w:rPr>
              <w:t>н</w:t>
            </w:r>
            <w:r w:rsidR="00FF5F51" w:rsidRPr="00FF5F5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наличие</w:t>
            </w:r>
          </w:p>
        </w:tc>
        <w:tc>
          <w:tcPr>
            <w:tcW w:w="750" w:type="dxa"/>
            <w:vAlign w:val="center"/>
          </w:tcPr>
          <w:p w:rsidR="00FF5F51" w:rsidRPr="00E77012" w:rsidRDefault="00FF5F51" w:rsidP="0092424C">
            <w:pPr>
              <w:rPr>
                <w:rFonts w:cs="Arial"/>
              </w:rPr>
            </w:pPr>
          </w:p>
        </w:tc>
      </w:tr>
      <w:tr w:rsidR="00FF5F51" w:rsidRPr="00E77012" w:rsidTr="0098210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4.2</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cs="Arial"/>
                <w:sz w:val="20"/>
                <w:szCs w:val="20"/>
              </w:rPr>
            </w:pPr>
            <w:r w:rsidRPr="00DC6EBC">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842" w:type="dxa"/>
            <w:tcBorders>
              <w:top w:val="single" w:sz="4" w:space="0" w:color="000000"/>
              <w:left w:val="single" w:sz="4" w:space="0" w:color="000000"/>
              <w:bottom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наличие</w:t>
            </w:r>
          </w:p>
        </w:tc>
        <w:tc>
          <w:tcPr>
            <w:tcW w:w="750" w:type="dxa"/>
            <w:vAlign w:val="center"/>
          </w:tcPr>
          <w:p w:rsidR="00FF5F51" w:rsidRPr="00E77012" w:rsidRDefault="00FF5F51" w:rsidP="0092424C">
            <w:pPr>
              <w:rPr>
                <w:rFonts w:cs="Arial"/>
              </w:rPr>
            </w:pPr>
          </w:p>
        </w:tc>
      </w:tr>
      <w:tr w:rsidR="00FF5F51" w:rsidRPr="00E77012" w:rsidTr="0098210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4.3</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AA4ACC">
            <w:pPr>
              <w:autoSpaceDE w:val="0"/>
              <w:jc w:val="both"/>
              <w:rPr>
                <w:rFonts w:cs="Arial"/>
                <w:sz w:val="20"/>
                <w:szCs w:val="20"/>
              </w:rPr>
            </w:pPr>
            <w:r w:rsidRPr="00FF5F51">
              <w:rPr>
                <w:rFonts w:cs="Arial"/>
                <w:sz w:val="20"/>
                <w:szCs w:val="20"/>
              </w:rPr>
              <w:t>-технику для уборки территории ремонтируемого объекта во время и после проведения работ.</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autoSpaceDE w:val="0"/>
              <w:ind w:left="34"/>
              <w:jc w:val="both"/>
              <w:rPr>
                <w:rFonts w:cs="Arial"/>
                <w:sz w:val="20"/>
                <w:szCs w:val="20"/>
              </w:rPr>
            </w:pPr>
            <w:r w:rsidRPr="00DC6EBC">
              <w:rPr>
                <w:rFonts w:cs="Arial"/>
                <w:sz w:val="20"/>
                <w:szCs w:val="20"/>
              </w:rPr>
              <w:t>Справка о наличии производственных мощностей (Форма 9).</w:t>
            </w: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highlight w:val="yellow"/>
              </w:rPr>
            </w:pPr>
            <w:r w:rsidRPr="00FF5F51">
              <w:rPr>
                <w:rFonts w:cs="Arial"/>
                <w:sz w:val="20"/>
                <w:szCs w:val="20"/>
              </w:rPr>
              <w:t>1 и более</w:t>
            </w:r>
          </w:p>
        </w:tc>
        <w:tc>
          <w:tcPr>
            <w:tcW w:w="750" w:type="dxa"/>
            <w:vAlign w:val="center"/>
          </w:tcPr>
          <w:p w:rsidR="00FF5F51" w:rsidRPr="00E77012" w:rsidRDefault="00FF5F51" w:rsidP="0092424C">
            <w:pPr>
              <w:rPr>
                <w:rFonts w:cs="Arial"/>
              </w:rPr>
            </w:pPr>
          </w:p>
        </w:tc>
      </w:tr>
      <w:tr w:rsidR="00FF5F51" w:rsidTr="0098210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5</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autoSpaceDE w:val="0"/>
              <w:jc w:val="both"/>
              <w:rPr>
                <w:rFonts w:cs="Arial"/>
                <w:sz w:val="20"/>
                <w:szCs w:val="20"/>
              </w:rPr>
            </w:pPr>
            <w:r w:rsidRPr="00FF5F51">
              <w:rPr>
                <w:rFonts w:cs="Arial"/>
                <w:sz w:val="20"/>
                <w:szCs w:val="20"/>
              </w:rPr>
              <w:t>Наличие персонала для выполнения общестроительных работ, в частности по ремонту помещений, зданий, сооружений, прошедших обучение безопасным методам и приемам выполнения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средств малой механизации);</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DF2A4E">
            <w:pPr>
              <w:rPr>
                <w:rFonts w:eastAsia="Calibri" w:cs="Arial"/>
                <w:sz w:val="20"/>
                <w:szCs w:val="20"/>
              </w:rPr>
            </w:pPr>
            <w:r w:rsidRPr="00DC6EBC">
              <w:rPr>
                <w:rFonts w:cs="Arial"/>
                <w:sz w:val="20"/>
                <w:szCs w:val="20"/>
              </w:rPr>
              <w:t>Справка о кадровых ресурсах для выполнения работ по предмету закупки (в том числе работников субподрядных организаций), с указанием удостоверений, протоколов об обучении персонала, за подписью руководителя организации (Форма 8).</w:t>
            </w:r>
            <w:r w:rsidRPr="00DC6EBC">
              <w:rPr>
                <w:rFonts w:cs="Arial"/>
                <w:sz w:val="20"/>
                <w:szCs w:val="20"/>
                <w:lang w:eastAsia="ar-SA"/>
              </w:rPr>
              <w:t xml:space="preserve"> </w:t>
            </w: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30 и более</w:t>
            </w:r>
          </w:p>
        </w:tc>
        <w:tc>
          <w:tcPr>
            <w:tcW w:w="750" w:type="dxa"/>
            <w:vAlign w:val="center"/>
          </w:tcPr>
          <w:p w:rsidR="00FF5F51" w:rsidRDefault="00FF5F51" w:rsidP="0092424C">
            <w:pPr>
              <w:rPr>
                <w:rFonts w:cs="Arial"/>
              </w:rPr>
            </w:pPr>
          </w:p>
        </w:tc>
      </w:tr>
      <w:tr w:rsidR="00826AB9" w:rsidTr="0098210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26AB9" w:rsidRPr="00FF5F51" w:rsidRDefault="00826AB9" w:rsidP="00826AB9">
            <w:pPr>
              <w:rPr>
                <w:rFonts w:cs="Arial"/>
                <w:sz w:val="20"/>
                <w:szCs w:val="20"/>
              </w:rPr>
            </w:pPr>
            <w:r w:rsidRPr="00FF5F51">
              <w:rPr>
                <w:rFonts w:cs="Arial"/>
                <w:sz w:val="20"/>
                <w:szCs w:val="20"/>
              </w:rPr>
              <w:t>5.1</w:t>
            </w:r>
          </w:p>
        </w:tc>
        <w:tc>
          <w:tcPr>
            <w:tcW w:w="3402" w:type="dxa"/>
            <w:tcBorders>
              <w:top w:val="single" w:sz="4" w:space="0" w:color="000000"/>
              <w:left w:val="single" w:sz="4" w:space="0" w:color="000000"/>
              <w:bottom w:val="single" w:sz="4" w:space="0" w:color="000000"/>
            </w:tcBorders>
            <w:shd w:val="clear" w:color="auto" w:fill="auto"/>
          </w:tcPr>
          <w:p w:rsidR="00826AB9" w:rsidRPr="00FF5F51" w:rsidRDefault="00826AB9" w:rsidP="00826AB9">
            <w:pPr>
              <w:jc w:val="both"/>
              <w:rPr>
                <w:rFonts w:cs="Arial"/>
                <w:color w:val="0070C0"/>
                <w:sz w:val="20"/>
                <w:szCs w:val="20"/>
              </w:rPr>
            </w:pPr>
            <w:r w:rsidRPr="00FF5F51">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FF5F51">
              <w:rPr>
                <w:rFonts w:cs="Arial"/>
                <w:sz w:val="20"/>
                <w:szCs w:val="20"/>
                <w:vertAlign w:val="subscript"/>
              </w:rPr>
              <w:t>1</w:t>
            </w:r>
            <w:r w:rsidRPr="00FF5F51">
              <w:rPr>
                <w:rFonts w:cs="Arial"/>
                <w:sz w:val="20"/>
                <w:szCs w:val="20"/>
              </w:rPr>
              <w:t>, Б</w:t>
            </w:r>
            <w:r w:rsidRPr="00FF5F51">
              <w:rPr>
                <w:rFonts w:cs="Arial"/>
                <w:sz w:val="20"/>
                <w:szCs w:val="20"/>
                <w:vertAlign w:val="subscript"/>
              </w:rPr>
              <w:t>1.17</w:t>
            </w:r>
          </w:p>
        </w:tc>
        <w:tc>
          <w:tcPr>
            <w:tcW w:w="2694" w:type="dxa"/>
            <w:tcBorders>
              <w:top w:val="single" w:sz="4" w:space="0" w:color="000000"/>
              <w:left w:val="single" w:sz="4" w:space="0" w:color="000000"/>
              <w:bottom w:val="single" w:sz="4" w:space="0" w:color="000000"/>
            </w:tcBorders>
            <w:shd w:val="clear" w:color="auto" w:fill="auto"/>
          </w:tcPr>
          <w:p w:rsidR="00826AB9" w:rsidRPr="00DC6EBC" w:rsidRDefault="00826AB9" w:rsidP="00826AB9">
            <w:pPr>
              <w:rPr>
                <w:rFonts w:cs="Arial"/>
                <w:sz w:val="20"/>
                <w:szCs w:val="20"/>
              </w:rPr>
            </w:pPr>
            <w:r w:rsidRPr="00DC6EBC">
              <w:rPr>
                <w:rFonts w:cs="Arial"/>
                <w:sz w:val="20"/>
                <w:szCs w:val="20"/>
              </w:rPr>
              <w:t>Копии свидетельств и протоколов комиссий об аттестации (допускается предоставление гарантийного письма об обучении персонала по требуемым категориям пром. безопасности).</w:t>
            </w:r>
          </w:p>
          <w:p w:rsidR="00826AB9" w:rsidRPr="00DC6EBC" w:rsidRDefault="00826AB9" w:rsidP="00826AB9">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826AB9" w:rsidRPr="00FF5F51" w:rsidRDefault="00826AB9" w:rsidP="00826AB9">
            <w:pPr>
              <w:rPr>
                <w:rFonts w:cs="Arial"/>
                <w:sz w:val="20"/>
                <w:szCs w:val="20"/>
              </w:rPr>
            </w:pPr>
            <w:r w:rsidRPr="00FF5F5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AB9" w:rsidRPr="00FF5F51" w:rsidRDefault="00826AB9" w:rsidP="00826AB9">
            <w:pPr>
              <w:rPr>
                <w:rFonts w:cs="Arial"/>
                <w:sz w:val="20"/>
                <w:szCs w:val="20"/>
                <w:highlight w:val="yellow"/>
              </w:rPr>
            </w:pPr>
            <w:r w:rsidRPr="00FF5F51">
              <w:rPr>
                <w:rFonts w:cs="Arial"/>
                <w:sz w:val="20"/>
                <w:szCs w:val="20"/>
              </w:rPr>
              <w:t>3 и более</w:t>
            </w:r>
          </w:p>
        </w:tc>
        <w:tc>
          <w:tcPr>
            <w:tcW w:w="750" w:type="dxa"/>
            <w:vAlign w:val="center"/>
          </w:tcPr>
          <w:p w:rsidR="00826AB9" w:rsidRDefault="00826AB9" w:rsidP="00826AB9">
            <w:pPr>
              <w:rPr>
                <w:rFonts w:cs="Arial"/>
              </w:rPr>
            </w:pPr>
          </w:p>
        </w:tc>
      </w:tr>
      <w:tr w:rsidR="00FF5F51" w:rsidTr="0098210D">
        <w:trPr>
          <w:trHeight w:val="1597"/>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5.2</w:t>
            </w:r>
          </w:p>
        </w:tc>
        <w:tc>
          <w:tcPr>
            <w:tcW w:w="3402" w:type="dxa"/>
            <w:tcBorders>
              <w:top w:val="single" w:sz="4" w:space="0" w:color="000000"/>
              <w:left w:val="single" w:sz="4" w:space="0" w:color="000000"/>
              <w:bottom w:val="single" w:sz="4" w:space="0" w:color="000000"/>
            </w:tcBorders>
            <w:shd w:val="clear" w:color="auto" w:fill="auto"/>
          </w:tcPr>
          <w:p w:rsidR="00FF5F51" w:rsidRPr="00FF5F51" w:rsidRDefault="00FF5F51" w:rsidP="0092424C">
            <w:pPr>
              <w:jc w:val="both"/>
              <w:rPr>
                <w:rFonts w:cs="Arial"/>
                <w:sz w:val="20"/>
                <w:szCs w:val="20"/>
              </w:rPr>
            </w:pPr>
            <w:r w:rsidRPr="00FF5F51">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4" w:type="dxa"/>
            <w:tcBorders>
              <w:top w:val="single" w:sz="4" w:space="0" w:color="000000"/>
              <w:left w:val="single" w:sz="4" w:space="0" w:color="000000"/>
              <w:bottom w:val="single" w:sz="4" w:space="0" w:color="000000"/>
            </w:tcBorders>
            <w:shd w:val="clear" w:color="auto" w:fill="auto"/>
          </w:tcPr>
          <w:p w:rsidR="00FF5F51" w:rsidRPr="00DC6EBC" w:rsidRDefault="00FF5F51" w:rsidP="0092424C">
            <w:pPr>
              <w:rPr>
                <w:rFonts w:cs="Arial"/>
                <w:sz w:val="20"/>
                <w:szCs w:val="20"/>
              </w:rPr>
            </w:pPr>
            <w:r w:rsidRPr="00DC6EBC">
              <w:rPr>
                <w:rFonts w:cs="Arial"/>
                <w:sz w:val="20"/>
                <w:szCs w:val="20"/>
              </w:rPr>
              <w:t>Копии документов, подтверждающих проведение проверок, их графиков,  актов по итогам проверок.</w:t>
            </w:r>
          </w:p>
        </w:tc>
        <w:tc>
          <w:tcPr>
            <w:tcW w:w="1842" w:type="dxa"/>
            <w:tcBorders>
              <w:top w:val="single" w:sz="4" w:space="0" w:color="000000"/>
              <w:left w:val="single" w:sz="4" w:space="0" w:color="000000"/>
              <w:bottom w:val="single" w:sz="4" w:space="0" w:color="000000"/>
            </w:tcBorders>
            <w:shd w:val="clear" w:color="auto" w:fill="auto"/>
          </w:tcPr>
          <w:p w:rsidR="00FF5F51" w:rsidRPr="00FF5F51" w:rsidRDefault="008A2437" w:rsidP="0092424C">
            <w:pPr>
              <w:rPr>
                <w:rFonts w:cs="Arial"/>
                <w:sz w:val="20"/>
                <w:szCs w:val="20"/>
              </w:rPr>
            </w:pPr>
            <w:r>
              <w:rPr>
                <w:rFonts w:cs="Arial"/>
                <w:sz w:val="20"/>
                <w:szCs w:val="20"/>
              </w:rPr>
              <w:t>н</w:t>
            </w:r>
            <w:r w:rsidR="00FF5F51" w:rsidRPr="00FF5F5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наличие</w:t>
            </w:r>
          </w:p>
        </w:tc>
        <w:tc>
          <w:tcPr>
            <w:tcW w:w="750" w:type="dxa"/>
            <w:vAlign w:val="center"/>
          </w:tcPr>
          <w:p w:rsidR="00FF5F51" w:rsidRDefault="00FF5F51" w:rsidP="0092424C">
            <w:pPr>
              <w:rPr>
                <w:rFonts w:cs="Arial"/>
              </w:rPr>
            </w:pPr>
          </w:p>
        </w:tc>
      </w:tr>
      <w:tr w:rsidR="00FF5F51" w:rsidTr="00DF2A4E">
        <w:trPr>
          <w:trHeight w:val="1289"/>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eastAsia="Calibri" w:cs="Arial"/>
                <w:sz w:val="20"/>
                <w:szCs w:val="20"/>
              </w:rPr>
            </w:pPr>
            <w:r w:rsidRPr="00FF5F51">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4" w:type="dxa"/>
            <w:tcBorders>
              <w:top w:val="single" w:sz="4" w:space="0" w:color="000000"/>
              <w:left w:val="single" w:sz="4" w:space="0" w:color="000000"/>
              <w:bottom w:val="single" w:sz="4" w:space="0" w:color="000000"/>
            </w:tcBorders>
            <w:shd w:val="clear" w:color="auto" w:fill="auto"/>
            <w:vAlign w:val="center"/>
          </w:tcPr>
          <w:p w:rsidR="00FF5F51" w:rsidRPr="00DC6EBC" w:rsidRDefault="00FF5F51" w:rsidP="0092424C">
            <w:pPr>
              <w:rPr>
                <w:rFonts w:eastAsia="Calibri"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p>
        </w:tc>
        <w:tc>
          <w:tcPr>
            <w:tcW w:w="750" w:type="dxa"/>
            <w:vAlign w:val="center"/>
          </w:tcPr>
          <w:p w:rsidR="00FF5F51" w:rsidRDefault="00FF5F51" w:rsidP="0092424C">
            <w:pPr>
              <w:rPr>
                <w:rFonts w:cs="Arial"/>
              </w:rPr>
            </w:pPr>
          </w:p>
        </w:tc>
      </w:tr>
      <w:tr w:rsidR="00FF5F51" w:rsidTr="0098210D">
        <w:trPr>
          <w:trHeight w:val="1034"/>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6.1</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 наличие грузовой транспортной техники для перевозки оборудования, запчастей, материалов и вывоза мусора,</w:t>
            </w:r>
          </w:p>
        </w:tc>
        <w:tc>
          <w:tcPr>
            <w:tcW w:w="2694" w:type="dxa"/>
            <w:vMerge w:val="restart"/>
            <w:tcBorders>
              <w:top w:val="single" w:sz="4" w:space="0" w:color="000000"/>
              <w:left w:val="single" w:sz="4" w:space="0" w:color="000000"/>
            </w:tcBorders>
            <w:shd w:val="clear" w:color="auto" w:fill="auto"/>
            <w:vAlign w:val="center"/>
          </w:tcPr>
          <w:p w:rsidR="00FF5F51" w:rsidRPr="00DC6EBC" w:rsidRDefault="00FF5F51" w:rsidP="0092424C">
            <w:pPr>
              <w:rPr>
                <w:rFonts w:cs="Arial"/>
                <w:sz w:val="20"/>
                <w:szCs w:val="20"/>
              </w:rPr>
            </w:pPr>
          </w:p>
          <w:p w:rsidR="00FF5F51" w:rsidRPr="00DC6EBC" w:rsidRDefault="00FF5F51" w:rsidP="0092424C">
            <w:pPr>
              <w:rPr>
                <w:rFonts w:cs="Arial"/>
                <w:sz w:val="20"/>
                <w:szCs w:val="20"/>
              </w:rPr>
            </w:pPr>
            <w:r w:rsidRPr="00DC6EBC">
              <w:rPr>
                <w:rFonts w:cs="Arial"/>
                <w:sz w:val="20"/>
                <w:szCs w:val="20"/>
              </w:rPr>
              <w:t xml:space="preserve">Справка о наличии производственных мощностей (Форма 9) Для грузоподъемной техники  и </w:t>
            </w:r>
            <w:r w:rsidR="002A651F" w:rsidRPr="00DC6EBC">
              <w:rPr>
                <w:rFonts w:cs="Arial"/>
                <w:sz w:val="20"/>
                <w:szCs w:val="20"/>
              </w:rPr>
              <w:t>автогидроподъемника</w:t>
            </w:r>
            <w:r w:rsidRPr="00DC6EBC">
              <w:rPr>
                <w:rFonts w:cs="Arial"/>
                <w:sz w:val="20"/>
                <w:szCs w:val="20"/>
              </w:rPr>
              <w:t xml:space="preserve"> обязательно приложить копии документов, подтверждающего собственность либо аренду данной техники.</w:t>
            </w: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1F795F" w:rsidP="0092424C">
            <w:pPr>
              <w:rPr>
                <w:rFonts w:cs="Arial"/>
                <w:sz w:val="20"/>
                <w:szCs w:val="20"/>
              </w:rPr>
            </w:pPr>
            <w:r>
              <w:rPr>
                <w:rFonts w:cs="Arial"/>
                <w:sz w:val="20"/>
                <w:szCs w:val="20"/>
              </w:rPr>
              <w:t>е</w:t>
            </w:r>
            <w:r w:rsidR="00FF5F51" w:rsidRPr="00FF5F5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3 и более</w:t>
            </w:r>
          </w:p>
        </w:tc>
        <w:tc>
          <w:tcPr>
            <w:tcW w:w="750" w:type="dxa"/>
            <w:vAlign w:val="center"/>
          </w:tcPr>
          <w:p w:rsidR="00FF5F51" w:rsidRDefault="00FF5F51" w:rsidP="0092424C">
            <w:pPr>
              <w:rPr>
                <w:rFonts w:cs="Arial"/>
              </w:rPr>
            </w:pPr>
          </w:p>
        </w:tc>
      </w:tr>
      <w:tr w:rsidR="00FF5F51" w:rsidTr="0098210D">
        <w:trPr>
          <w:trHeight w:val="1032"/>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6.2</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 оснащение ремнями безопасности транспортных средств (где это предусмотрено конструкцией ТС),</w:t>
            </w:r>
          </w:p>
        </w:tc>
        <w:tc>
          <w:tcPr>
            <w:tcW w:w="2694" w:type="dxa"/>
            <w:vMerge/>
            <w:tcBorders>
              <w:left w:val="single" w:sz="4" w:space="0" w:color="000000"/>
            </w:tcBorders>
            <w:shd w:val="clear" w:color="auto" w:fill="auto"/>
            <w:vAlign w:val="center"/>
          </w:tcPr>
          <w:p w:rsidR="00FF5F51" w:rsidRPr="00DC6EBC" w:rsidRDefault="00FF5F51" w:rsidP="0092424C">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tcPr>
          <w:p w:rsidR="00FF5F51" w:rsidRPr="00FF5F51" w:rsidRDefault="001F795F" w:rsidP="0092424C">
            <w:pPr>
              <w:rPr>
                <w:rFonts w:cs="Arial"/>
                <w:sz w:val="20"/>
                <w:szCs w:val="20"/>
              </w:rPr>
            </w:pPr>
            <w:r>
              <w:rPr>
                <w:rFonts w:cs="Arial"/>
                <w:sz w:val="20"/>
                <w:szCs w:val="20"/>
              </w:rPr>
              <w:t>н</w:t>
            </w:r>
            <w:r w:rsidR="00FF5F51" w:rsidRPr="00FF5F5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F5F51" w:rsidRPr="00FF5F51" w:rsidRDefault="00FF5F51" w:rsidP="0092424C">
            <w:pPr>
              <w:rPr>
                <w:rFonts w:cs="Arial"/>
                <w:sz w:val="20"/>
                <w:szCs w:val="20"/>
              </w:rPr>
            </w:pPr>
            <w:r w:rsidRPr="00FF5F51">
              <w:rPr>
                <w:rFonts w:cs="Arial"/>
                <w:sz w:val="20"/>
                <w:szCs w:val="20"/>
              </w:rPr>
              <w:t>наличие</w:t>
            </w:r>
          </w:p>
        </w:tc>
        <w:tc>
          <w:tcPr>
            <w:tcW w:w="750" w:type="dxa"/>
            <w:tcBorders>
              <w:bottom w:val="nil"/>
            </w:tcBorders>
            <w:vAlign w:val="center"/>
          </w:tcPr>
          <w:p w:rsidR="00FF5F51" w:rsidRDefault="00FF5F51" w:rsidP="0092424C">
            <w:pPr>
              <w:rPr>
                <w:rFonts w:cs="Arial"/>
              </w:rPr>
            </w:pPr>
          </w:p>
        </w:tc>
      </w:tr>
      <w:tr w:rsidR="00FF5F51" w:rsidTr="0098210D">
        <w:trPr>
          <w:trHeight w:val="609"/>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6.3</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 xml:space="preserve">- наличие грузоподъемной техники </w:t>
            </w:r>
            <w:r w:rsidRPr="00FF5F51">
              <w:rPr>
                <w:rFonts w:cs="Arial"/>
                <w:sz w:val="20"/>
                <w:szCs w:val="20"/>
                <w:lang w:val="en-US"/>
              </w:rPr>
              <w:t>Q</w:t>
            </w:r>
            <w:r w:rsidRPr="00FF5F51">
              <w:rPr>
                <w:rFonts w:cs="Arial"/>
                <w:sz w:val="20"/>
                <w:szCs w:val="20"/>
              </w:rPr>
              <w:t xml:space="preserve"> = не менее 16  т;</w:t>
            </w:r>
          </w:p>
        </w:tc>
        <w:tc>
          <w:tcPr>
            <w:tcW w:w="2694" w:type="dxa"/>
            <w:vMerge/>
            <w:tcBorders>
              <w:left w:val="single" w:sz="4" w:space="0" w:color="000000"/>
            </w:tcBorders>
            <w:shd w:val="clear" w:color="auto" w:fill="auto"/>
            <w:vAlign w:val="center"/>
          </w:tcPr>
          <w:p w:rsidR="00FF5F51" w:rsidRPr="00DC6EBC" w:rsidRDefault="00FF5F51" w:rsidP="0092424C">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1F795F" w:rsidP="0092424C">
            <w:pPr>
              <w:rPr>
                <w:rFonts w:cs="Arial"/>
                <w:sz w:val="20"/>
                <w:szCs w:val="20"/>
              </w:rPr>
            </w:pPr>
            <w:r>
              <w:rPr>
                <w:rFonts w:cs="Arial"/>
                <w:sz w:val="20"/>
                <w:szCs w:val="20"/>
              </w:rPr>
              <w:t>е</w:t>
            </w:r>
            <w:r w:rsidR="00FF5F51" w:rsidRPr="00FF5F5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1 и более</w:t>
            </w:r>
          </w:p>
        </w:tc>
        <w:tc>
          <w:tcPr>
            <w:tcW w:w="750" w:type="dxa"/>
            <w:tcBorders>
              <w:bottom w:val="nil"/>
            </w:tcBorders>
            <w:vAlign w:val="center"/>
          </w:tcPr>
          <w:p w:rsidR="00FF5F51" w:rsidRDefault="00FF5F51" w:rsidP="0092424C">
            <w:pPr>
              <w:rPr>
                <w:rFonts w:cs="Arial"/>
              </w:rPr>
            </w:pPr>
          </w:p>
        </w:tc>
      </w:tr>
      <w:tr w:rsidR="00FF5F51" w:rsidTr="00DF2A4E">
        <w:trPr>
          <w:trHeight w:val="741"/>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6.4</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 наличие в собственности или в аренде передвижных компрессоров,</w:t>
            </w:r>
          </w:p>
        </w:tc>
        <w:tc>
          <w:tcPr>
            <w:tcW w:w="2694" w:type="dxa"/>
            <w:vMerge/>
            <w:tcBorders>
              <w:left w:val="single" w:sz="4" w:space="0" w:color="000000"/>
            </w:tcBorders>
            <w:shd w:val="clear" w:color="auto" w:fill="auto"/>
          </w:tcPr>
          <w:p w:rsidR="00FF5F51" w:rsidRPr="00DC6EBC" w:rsidRDefault="00FF5F51" w:rsidP="0092424C">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1F795F" w:rsidP="0092424C">
            <w:pPr>
              <w:rPr>
                <w:rFonts w:cs="Arial"/>
                <w:sz w:val="20"/>
                <w:szCs w:val="20"/>
              </w:rPr>
            </w:pPr>
            <w:r>
              <w:rPr>
                <w:rFonts w:cs="Arial"/>
                <w:sz w:val="20"/>
                <w:szCs w:val="20"/>
              </w:rPr>
              <w:t>е</w:t>
            </w:r>
            <w:r w:rsidR="00FF5F51" w:rsidRPr="00FF5F5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3 и более</w:t>
            </w:r>
          </w:p>
        </w:tc>
        <w:tc>
          <w:tcPr>
            <w:tcW w:w="750" w:type="dxa"/>
            <w:vAlign w:val="center"/>
          </w:tcPr>
          <w:p w:rsidR="00FF5F51" w:rsidRDefault="00FF5F51" w:rsidP="0092424C">
            <w:pPr>
              <w:rPr>
                <w:rFonts w:cs="Arial"/>
              </w:rPr>
            </w:pPr>
          </w:p>
        </w:tc>
      </w:tr>
      <w:tr w:rsidR="00FF5F51" w:rsidTr="0098210D">
        <w:trPr>
          <w:trHeight w:val="555"/>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6.5</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 наличие в комплектов газовых горелок,</w:t>
            </w:r>
          </w:p>
        </w:tc>
        <w:tc>
          <w:tcPr>
            <w:tcW w:w="2694" w:type="dxa"/>
            <w:vMerge w:val="restart"/>
            <w:tcBorders>
              <w:left w:val="single" w:sz="4" w:space="0" w:color="000000"/>
              <w:bottom w:val="single" w:sz="4" w:space="0" w:color="auto"/>
            </w:tcBorders>
            <w:shd w:val="clear" w:color="auto" w:fill="auto"/>
          </w:tcPr>
          <w:p w:rsidR="00FF5F51" w:rsidRPr="00DC6EBC" w:rsidRDefault="00FF5F51" w:rsidP="0092424C">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1F795F" w:rsidP="0092424C">
            <w:pPr>
              <w:rPr>
                <w:rFonts w:cs="Arial"/>
                <w:sz w:val="20"/>
                <w:szCs w:val="20"/>
              </w:rPr>
            </w:pPr>
            <w:r>
              <w:rPr>
                <w:rFonts w:cs="Arial"/>
                <w:sz w:val="20"/>
                <w:szCs w:val="20"/>
              </w:rPr>
              <w:t>к</w:t>
            </w:r>
            <w:r w:rsidR="00FF5F51" w:rsidRPr="00FF5F51">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3 и более</w:t>
            </w:r>
          </w:p>
        </w:tc>
        <w:tc>
          <w:tcPr>
            <w:tcW w:w="750" w:type="dxa"/>
            <w:vAlign w:val="center"/>
          </w:tcPr>
          <w:p w:rsidR="00FF5F51" w:rsidRDefault="00FF5F51" w:rsidP="0092424C">
            <w:pPr>
              <w:rPr>
                <w:rFonts w:cs="Arial"/>
              </w:rPr>
            </w:pPr>
          </w:p>
        </w:tc>
      </w:tr>
      <w:tr w:rsidR="00FF5F51" w:rsidTr="002A651F">
        <w:trPr>
          <w:trHeight w:val="477"/>
        </w:trPr>
        <w:tc>
          <w:tcPr>
            <w:tcW w:w="59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6.6</w:t>
            </w:r>
          </w:p>
        </w:tc>
        <w:tc>
          <w:tcPr>
            <w:tcW w:w="3402" w:type="dxa"/>
            <w:tcBorders>
              <w:top w:val="single" w:sz="4" w:space="0" w:color="000000"/>
              <w:left w:val="single" w:sz="4" w:space="0" w:color="000000"/>
              <w:bottom w:val="single" w:sz="4" w:space="0" w:color="000000"/>
            </w:tcBorders>
            <w:shd w:val="clear" w:color="auto" w:fill="auto"/>
            <w:vAlign w:val="center"/>
          </w:tcPr>
          <w:p w:rsidR="00FF5F51" w:rsidRPr="00FF5F51" w:rsidRDefault="00FF5F51" w:rsidP="002A651F">
            <w:pPr>
              <w:rPr>
                <w:rFonts w:cs="Arial"/>
                <w:sz w:val="20"/>
                <w:szCs w:val="20"/>
              </w:rPr>
            </w:pPr>
            <w:r w:rsidRPr="00FF5F51">
              <w:rPr>
                <w:rFonts w:cs="Arial"/>
                <w:sz w:val="20"/>
                <w:szCs w:val="20"/>
              </w:rPr>
              <w:t>- наличие в собственности или в аренде автоги</w:t>
            </w:r>
            <w:r w:rsidRPr="002A651F">
              <w:rPr>
                <w:rFonts w:cs="Arial"/>
                <w:sz w:val="20"/>
                <w:szCs w:val="20"/>
              </w:rPr>
              <w:t>дропод</w:t>
            </w:r>
            <w:r w:rsidRPr="00FF5F51">
              <w:rPr>
                <w:rFonts w:cs="Arial"/>
                <w:sz w:val="20"/>
                <w:szCs w:val="20"/>
              </w:rPr>
              <w:t xml:space="preserve">ъемника </w:t>
            </w:r>
          </w:p>
        </w:tc>
        <w:tc>
          <w:tcPr>
            <w:tcW w:w="2694" w:type="dxa"/>
            <w:vMerge/>
            <w:tcBorders>
              <w:left w:val="single" w:sz="4" w:space="0" w:color="000000"/>
              <w:bottom w:val="single" w:sz="4" w:space="0" w:color="auto"/>
            </w:tcBorders>
            <w:shd w:val="clear" w:color="auto" w:fill="auto"/>
          </w:tcPr>
          <w:p w:rsidR="00FF5F51" w:rsidRPr="00FF5F51" w:rsidRDefault="00FF5F51" w:rsidP="0092424C">
            <w:pPr>
              <w:rPr>
                <w:rFonts w:cs="Arial"/>
                <w:sz w:val="20"/>
                <w:szCs w:val="20"/>
              </w:rPr>
            </w:pPr>
          </w:p>
        </w:tc>
        <w:tc>
          <w:tcPr>
            <w:tcW w:w="1842" w:type="dxa"/>
            <w:tcBorders>
              <w:top w:val="single" w:sz="4" w:space="0" w:color="000000"/>
              <w:left w:val="single" w:sz="4" w:space="0" w:color="000000"/>
              <w:bottom w:val="single" w:sz="4" w:space="0" w:color="000000"/>
            </w:tcBorders>
            <w:shd w:val="clear" w:color="auto" w:fill="auto"/>
            <w:vAlign w:val="center"/>
          </w:tcPr>
          <w:p w:rsidR="00FF5F51" w:rsidRPr="00FF5F51" w:rsidRDefault="001F795F" w:rsidP="0092424C">
            <w:pPr>
              <w:rPr>
                <w:rFonts w:cs="Arial"/>
                <w:sz w:val="20"/>
                <w:szCs w:val="20"/>
              </w:rPr>
            </w:pPr>
            <w:r>
              <w:rPr>
                <w:rFonts w:cs="Arial"/>
                <w:sz w:val="20"/>
                <w:szCs w:val="20"/>
              </w:rPr>
              <w:t>е</w:t>
            </w:r>
            <w:r w:rsidR="00FF5F51" w:rsidRPr="00FF5F5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5F51" w:rsidRPr="00FF5F51" w:rsidRDefault="00FF5F51" w:rsidP="0092424C">
            <w:pPr>
              <w:rPr>
                <w:rFonts w:cs="Arial"/>
                <w:sz w:val="20"/>
                <w:szCs w:val="20"/>
              </w:rPr>
            </w:pPr>
            <w:r w:rsidRPr="00FF5F51">
              <w:rPr>
                <w:rFonts w:cs="Arial"/>
                <w:sz w:val="20"/>
                <w:szCs w:val="20"/>
              </w:rPr>
              <w:t>1 и более</w:t>
            </w:r>
          </w:p>
        </w:tc>
        <w:tc>
          <w:tcPr>
            <w:tcW w:w="750" w:type="dxa"/>
            <w:vAlign w:val="center"/>
          </w:tcPr>
          <w:p w:rsidR="00FF5F51" w:rsidRDefault="00FF5F51" w:rsidP="0092424C">
            <w:pPr>
              <w:rPr>
                <w:rFonts w:cs="Arial"/>
              </w:rPr>
            </w:pP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w:t>
      </w:r>
      <w:r w:rsidR="00B518EF">
        <w:rPr>
          <w:rFonts w:cs="Arial"/>
          <w:szCs w:val="22"/>
        </w:rPr>
        <w:t>отзыва,</w:t>
      </w:r>
      <w:r>
        <w:rPr>
          <w:rFonts w:cs="Arial"/>
          <w:szCs w:val="22"/>
        </w:rPr>
        <w:t xml:space="preserve">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C907B9">
        <w:rPr>
          <w:szCs w:val="22"/>
        </w:rPr>
        <w:t>от суммы,</w:t>
      </w:r>
      <w:r>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772CB8" w:rsidRPr="00D25AB1" w:rsidRDefault="00772CB8" w:rsidP="00772CB8">
      <w:pPr>
        <w:jc w:val="both"/>
        <w:rPr>
          <w:szCs w:val="22"/>
        </w:rPr>
      </w:pPr>
      <w:r w:rsidRPr="00C60276">
        <w:rPr>
          <w:szCs w:val="22"/>
        </w:rPr>
        <w:t xml:space="preserve">Изучив условия предложения </w:t>
      </w:r>
      <w:r w:rsidRPr="005A3E2C">
        <w:rPr>
          <w:szCs w:val="22"/>
        </w:rPr>
        <w:t xml:space="preserve">делать </w:t>
      </w:r>
      <w:r w:rsidRPr="00D17888">
        <w:rPr>
          <w:szCs w:val="22"/>
        </w:rPr>
        <w:t>оферты №</w:t>
      </w:r>
      <w:r w:rsidR="00751EF9">
        <w:rPr>
          <w:szCs w:val="22"/>
        </w:rPr>
        <w:t xml:space="preserve"> </w:t>
      </w:r>
      <w:r w:rsidR="00D17888" w:rsidRPr="00D17888">
        <w:rPr>
          <w:szCs w:val="22"/>
        </w:rPr>
        <w:t>137</w:t>
      </w:r>
      <w:r w:rsidRPr="00D17888">
        <w:rPr>
          <w:szCs w:val="22"/>
        </w:rPr>
        <w:t>-КР</w:t>
      </w:r>
      <w:r w:rsidRPr="00296437">
        <w:rPr>
          <w:szCs w:val="22"/>
        </w:rPr>
        <w:t>-</w:t>
      </w:r>
      <w:r>
        <w:rPr>
          <w:szCs w:val="22"/>
        </w:rPr>
        <w:t>2018</w:t>
      </w:r>
      <w:r w:rsidRPr="00C60276">
        <w:rPr>
          <w:szCs w:val="22"/>
        </w:rPr>
        <w:t xml:space="preserve"> </w:t>
      </w:r>
      <w:r w:rsidR="00751EF9" w:rsidRPr="00751EF9">
        <w:rPr>
          <w:szCs w:val="22"/>
        </w:rPr>
        <w:t>05.04.2018 г.</w:t>
      </w:r>
      <w:r w:rsidRPr="00751EF9">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772CB8" w:rsidRPr="00D25AB1" w:rsidRDefault="00772CB8" w:rsidP="00772CB8">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772CB8" w:rsidRPr="00D25AB1" w:rsidRDefault="00772CB8" w:rsidP="00772CB8">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772CB8" w:rsidRPr="00D25AB1" w:rsidRDefault="00772CB8" w:rsidP="00772CB8">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Pr>
          <w:szCs w:val="22"/>
        </w:rPr>
        <w:t>на</w:t>
      </w:r>
      <w:r w:rsidRPr="00D25AB1">
        <w:rPr>
          <w:szCs w:val="22"/>
        </w:rPr>
        <w:t xml:space="preserve"> </w:t>
      </w:r>
      <w:r w:rsidRPr="0090353E">
        <w:rPr>
          <w:rFonts w:cs="Arial"/>
          <w:b/>
          <w:szCs w:val="22"/>
        </w:rPr>
        <w:t xml:space="preserve">выполнение </w:t>
      </w:r>
      <w:r w:rsidRPr="00772CB8">
        <w:rPr>
          <w:rFonts w:cs="Arial"/>
          <w:b/>
          <w:szCs w:val="22"/>
        </w:rPr>
        <w:t>работ по ремонту кровельного покрытия зданий ОАО «Славнефть-ЯНОС»</w:t>
      </w:r>
      <w:r>
        <w:rPr>
          <w:rFonts w:cs="Arial"/>
          <w:b/>
          <w:szCs w:val="22"/>
        </w:rPr>
        <w:t xml:space="preserve"> </w:t>
      </w:r>
      <w:r w:rsidRPr="00772CB8">
        <w:rPr>
          <w:rFonts w:cs="Arial"/>
          <w:szCs w:val="22"/>
        </w:rPr>
        <w:t>на у</w:t>
      </w:r>
      <w:r w:rsidRPr="00D25AB1">
        <w:rPr>
          <w:szCs w:val="22"/>
        </w:rPr>
        <w:t xml:space="preserve">словиях указанного предложения делать оферты не позднее 20 (Двадцати) календарных дней с момента уведомления о принятии нашей оферты. </w:t>
      </w:r>
    </w:p>
    <w:p w:rsidR="00772CB8" w:rsidRPr="00C60276" w:rsidRDefault="00772CB8" w:rsidP="00772CB8">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772CB8" w:rsidRPr="002E571A" w:rsidRDefault="00772CB8" w:rsidP="00772CB8">
      <w:pPr>
        <w:rPr>
          <w:rFonts w:cs="Arial"/>
          <w:szCs w:val="22"/>
        </w:rPr>
      </w:pPr>
      <w:r w:rsidRPr="0006564E">
        <w:rPr>
          <w:rFonts w:cs="Arial"/>
          <w:szCs w:val="22"/>
        </w:rPr>
        <w:t>4. Сообщаем о</w:t>
      </w:r>
      <w:r w:rsidRPr="002E571A">
        <w:rPr>
          <w:rFonts w:cs="Arial"/>
          <w:szCs w:val="22"/>
        </w:rPr>
        <w:t xml:space="preserve"> себе следующее:</w:t>
      </w:r>
    </w:p>
    <w:p w:rsidR="00772CB8" w:rsidRPr="002E571A" w:rsidRDefault="00772CB8" w:rsidP="00772CB8">
      <w:pPr>
        <w:ind w:left="540"/>
        <w:rPr>
          <w:rFonts w:cs="Arial"/>
          <w:szCs w:val="22"/>
        </w:rPr>
      </w:pPr>
      <w:r w:rsidRPr="002E571A">
        <w:rPr>
          <w:rFonts w:cs="Arial"/>
          <w:szCs w:val="22"/>
        </w:rPr>
        <w:t>Наименование организации: _____________________________________________________</w:t>
      </w:r>
    </w:p>
    <w:p w:rsidR="00772CB8" w:rsidRPr="002E571A" w:rsidRDefault="00772CB8" w:rsidP="00772CB8">
      <w:pPr>
        <w:ind w:left="540"/>
        <w:rPr>
          <w:rFonts w:cs="Arial"/>
          <w:szCs w:val="22"/>
        </w:rPr>
      </w:pPr>
      <w:r w:rsidRPr="002E571A">
        <w:rPr>
          <w:rFonts w:cs="Arial"/>
          <w:szCs w:val="22"/>
        </w:rPr>
        <w:t>Местонахождение: ______________________________________________________________</w:t>
      </w:r>
    </w:p>
    <w:p w:rsidR="00772CB8" w:rsidRPr="002E571A" w:rsidRDefault="00772CB8" w:rsidP="00772CB8">
      <w:pPr>
        <w:ind w:left="540"/>
        <w:rPr>
          <w:rFonts w:cs="Arial"/>
          <w:szCs w:val="22"/>
        </w:rPr>
      </w:pPr>
      <w:r w:rsidRPr="002E571A">
        <w:rPr>
          <w:rFonts w:cs="Arial"/>
          <w:szCs w:val="22"/>
        </w:rPr>
        <w:t>Почтовый адрес: ________________________________________________________________</w:t>
      </w:r>
    </w:p>
    <w:p w:rsidR="00772CB8" w:rsidRPr="002E571A" w:rsidRDefault="00772CB8" w:rsidP="00772CB8">
      <w:pPr>
        <w:ind w:left="540"/>
        <w:rPr>
          <w:rFonts w:cs="Arial"/>
          <w:szCs w:val="22"/>
        </w:rPr>
      </w:pPr>
      <w:r w:rsidRPr="002E571A">
        <w:rPr>
          <w:rFonts w:cs="Arial"/>
          <w:szCs w:val="22"/>
        </w:rPr>
        <w:t>Телефон, телефакс, электронный адрес: ____________________________________________</w:t>
      </w:r>
    </w:p>
    <w:p w:rsidR="00772CB8" w:rsidRPr="002E571A" w:rsidRDefault="00772CB8" w:rsidP="00772CB8">
      <w:pPr>
        <w:ind w:left="540"/>
        <w:rPr>
          <w:rFonts w:cs="Arial"/>
          <w:szCs w:val="22"/>
        </w:rPr>
      </w:pPr>
      <w:r w:rsidRPr="002E571A">
        <w:rPr>
          <w:rFonts w:cs="Arial"/>
          <w:szCs w:val="22"/>
        </w:rPr>
        <w:t>Организационно - правовая форма: ________________________________________________</w:t>
      </w:r>
    </w:p>
    <w:p w:rsidR="00772CB8" w:rsidRPr="002E571A" w:rsidRDefault="00772CB8" w:rsidP="00772CB8">
      <w:pPr>
        <w:ind w:left="540"/>
        <w:rPr>
          <w:rFonts w:cs="Arial"/>
          <w:szCs w:val="22"/>
        </w:rPr>
      </w:pPr>
      <w:r w:rsidRPr="002E571A">
        <w:rPr>
          <w:rFonts w:cs="Arial"/>
          <w:szCs w:val="22"/>
        </w:rPr>
        <w:t>Дата, место и орган регистрации организации: _______________________________________</w:t>
      </w:r>
    </w:p>
    <w:p w:rsidR="00772CB8" w:rsidRPr="002E571A" w:rsidRDefault="00772CB8" w:rsidP="00772CB8">
      <w:pPr>
        <w:ind w:left="540"/>
        <w:rPr>
          <w:rFonts w:cs="Arial"/>
          <w:szCs w:val="22"/>
        </w:rPr>
      </w:pPr>
      <w:r w:rsidRPr="002E571A">
        <w:rPr>
          <w:rFonts w:cs="Arial"/>
          <w:szCs w:val="22"/>
        </w:rPr>
        <w:t>Банковские реквизиты: ___________________________________________________________</w:t>
      </w:r>
    </w:p>
    <w:p w:rsidR="00772CB8" w:rsidRPr="002E571A" w:rsidRDefault="00772CB8" w:rsidP="00772CB8">
      <w:pPr>
        <w:ind w:left="540"/>
        <w:rPr>
          <w:rFonts w:cs="Arial"/>
          <w:szCs w:val="22"/>
        </w:rPr>
      </w:pPr>
      <w:r w:rsidRPr="002E571A">
        <w:rPr>
          <w:rFonts w:cs="Arial"/>
          <w:szCs w:val="22"/>
        </w:rPr>
        <w:t xml:space="preserve">БИК__________________________________, </w:t>
      </w:r>
    </w:p>
    <w:p w:rsidR="00772CB8" w:rsidRPr="002E571A" w:rsidRDefault="00772CB8" w:rsidP="00772CB8">
      <w:pPr>
        <w:ind w:left="540"/>
        <w:rPr>
          <w:rFonts w:cs="Arial"/>
          <w:szCs w:val="22"/>
        </w:rPr>
      </w:pPr>
      <w:r w:rsidRPr="002E571A">
        <w:rPr>
          <w:rFonts w:cs="Arial"/>
          <w:szCs w:val="22"/>
        </w:rPr>
        <w:t>ИНН __________________________________</w:t>
      </w:r>
    </w:p>
    <w:p w:rsidR="00772CB8" w:rsidRPr="002E571A" w:rsidRDefault="00772CB8" w:rsidP="00772CB8">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772CB8" w:rsidRPr="002E571A" w:rsidRDefault="00772CB8" w:rsidP="00772CB8">
      <w:pPr>
        <w:pBdr>
          <w:bottom w:val="single" w:sz="4" w:space="1" w:color="auto"/>
        </w:pBdr>
        <w:ind w:left="540"/>
        <w:rPr>
          <w:rFonts w:cs="Arial"/>
          <w:szCs w:val="22"/>
        </w:rPr>
      </w:pPr>
    </w:p>
    <w:p w:rsidR="00772CB8" w:rsidRPr="002E571A" w:rsidRDefault="00772CB8" w:rsidP="00772CB8">
      <w:pPr>
        <w:ind w:left="539"/>
        <w:rPr>
          <w:rFonts w:cs="Arial"/>
          <w:szCs w:val="22"/>
        </w:rPr>
      </w:pPr>
      <w:r w:rsidRPr="002E571A">
        <w:rPr>
          <w:rFonts w:cs="Arial"/>
          <w:szCs w:val="22"/>
        </w:rPr>
        <w:t>________________________________________________________________________</w:t>
      </w:r>
    </w:p>
    <w:p w:rsidR="00772CB8" w:rsidRPr="00707A8E" w:rsidRDefault="00772CB8" w:rsidP="00772CB8">
      <w:pPr>
        <w:jc w:val="both"/>
        <w:rPr>
          <w:rFonts w:cs="Arial"/>
          <w:szCs w:val="22"/>
        </w:rPr>
      </w:pPr>
      <w:r>
        <w:rPr>
          <w:rFonts w:cs="Arial"/>
          <w:szCs w:val="22"/>
        </w:rPr>
        <w:t>5</w:t>
      </w:r>
      <w:r w:rsidRPr="002E571A">
        <w:rPr>
          <w:rFonts w:cs="Arial"/>
          <w:szCs w:val="22"/>
        </w:rPr>
        <w:t xml:space="preserve">.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772CB8" w:rsidRPr="002E571A" w:rsidRDefault="00772CB8" w:rsidP="00772CB8">
      <w:pPr>
        <w:pBdr>
          <w:bottom w:val="single" w:sz="4" w:space="1" w:color="auto"/>
        </w:pBdr>
        <w:jc w:val="both"/>
        <w:rPr>
          <w:rFonts w:cs="Arial"/>
          <w:szCs w:val="22"/>
        </w:rPr>
      </w:pPr>
      <w:r>
        <w:rPr>
          <w:rFonts w:cs="Arial"/>
          <w:szCs w:val="22"/>
        </w:rPr>
        <w:t>6</w:t>
      </w:r>
      <w:r w:rsidRPr="00707A8E">
        <w:rPr>
          <w:rFonts w:cs="Arial"/>
          <w:szCs w:val="22"/>
        </w:rPr>
        <w:t>.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772CB8" w:rsidRPr="002E571A" w:rsidRDefault="00772CB8" w:rsidP="00772CB8">
      <w:pPr>
        <w:pBdr>
          <w:bottom w:val="single" w:sz="4" w:space="1" w:color="auto"/>
        </w:pBdr>
        <w:jc w:val="both"/>
        <w:rPr>
          <w:rFonts w:cs="Arial"/>
          <w:szCs w:val="22"/>
        </w:rPr>
      </w:pPr>
    </w:p>
    <w:p w:rsidR="00772CB8" w:rsidRPr="002E571A" w:rsidRDefault="00772CB8" w:rsidP="00772CB8">
      <w:pPr>
        <w:jc w:val="both"/>
        <w:rPr>
          <w:rFonts w:cs="Arial"/>
          <w:szCs w:val="22"/>
        </w:rPr>
      </w:pPr>
      <w:r w:rsidRPr="002E571A">
        <w:rPr>
          <w:rFonts w:cs="Arial"/>
          <w:szCs w:val="22"/>
        </w:rPr>
        <w:t>____________________________________________________________________________</w:t>
      </w:r>
    </w:p>
    <w:p w:rsidR="00772CB8" w:rsidRPr="002E571A" w:rsidRDefault="00772CB8" w:rsidP="00772CB8">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772CB8" w:rsidRPr="002E571A" w:rsidRDefault="00772CB8" w:rsidP="00772CB8">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772CB8" w:rsidRPr="002E571A" w:rsidRDefault="00772CB8" w:rsidP="00772CB8">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772CB8" w:rsidRDefault="00772CB8" w:rsidP="00772CB8">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9B57F9" w:rsidRDefault="009B57F9" w:rsidP="00211FE1">
            <w:pPr>
              <w:tabs>
                <w:tab w:val="left" w:pos="3240"/>
              </w:tabs>
              <w:rPr>
                <w:rFonts w:cs="Arial"/>
                <w:sz w:val="20"/>
                <w:szCs w:val="20"/>
              </w:rPr>
            </w:pPr>
            <w:r w:rsidRPr="00211FE1">
              <w:rPr>
                <w:rFonts w:cs="Arial"/>
                <w:sz w:val="20"/>
                <w:szCs w:val="20"/>
              </w:rPr>
              <w:t xml:space="preserve">Выполнение </w:t>
            </w:r>
            <w:r w:rsidR="00211FE1" w:rsidRPr="00211FE1">
              <w:rPr>
                <w:rFonts w:cs="Arial"/>
                <w:sz w:val="20"/>
                <w:szCs w:val="20"/>
              </w:rPr>
              <w:t>работ по ремонту кровельного покрытия зданий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D86D61" w:rsidRPr="00D86D61" w:rsidRDefault="00D86D61" w:rsidP="00D86D61">
      <w:pPr>
        <w:numPr>
          <w:ilvl w:val="0"/>
          <w:numId w:val="7"/>
        </w:numPr>
        <w:spacing w:before="0"/>
        <w:jc w:val="both"/>
        <w:rPr>
          <w:rFonts w:cs="Arial"/>
          <w:sz w:val="20"/>
          <w:szCs w:val="20"/>
        </w:rPr>
      </w:pPr>
      <w:r w:rsidRPr="00D86D61">
        <w:rPr>
          <w:rFonts w:cs="Arial"/>
          <w:sz w:val="20"/>
          <w:szCs w:val="20"/>
        </w:rPr>
        <w:t>Настоящее предложение может быть акцептовано до «____» __________________ _____ г. (включительно).</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Настоящее предложение не может быть отозвано и является безотзывной офертой.</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 xml:space="preserve">Настоящая оферта может быть акцептована не более одного раза. </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Дата, указанная в уведомлении победителю, является датой акцепта оферты и датой заключения договора.</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86D61" w:rsidRPr="00D86D61" w:rsidRDefault="00D86D61" w:rsidP="00D86D61">
      <w:pPr>
        <w:numPr>
          <w:ilvl w:val="0"/>
          <w:numId w:val="7"/>
        </w:numPr>
        <w:spacing w:before="0"/>
        <w:jc w:val="both"/>
        <w:rPr>
          <w:rFonts w:cs="Arial"/>
          <w:sz w:val="20"/>
          <w:szCs w:val="20"/>
        </w:rPr>
      </w:pPr>
      <w:r w:rsidRPr="00D86D61">
        <w:rPr>
          <w:rFonts w:cs="Arial"/>
          <w:sz w:val="20"/>
          <w:szCs w:val="20"/>
        </w:rPr>
        <w:t>Более подробные условия оферты содержатся в приложениях, являющихся неотъемлемой частью оферты.</w:t>
      </w:r>
    </w:p>
    <w:p w:rsidR="00D86D61" w:rsidRPr="00D86D61" w:rsidRDefault="00D86D61" w:rsidP="00D86D61">
      <w:pPr>
        <w:spacing w:before="0"/>
        <w:jc w:val="both"/>
        <w:rPr>
          <w:rFonts w:cs="Arial"/>
          <w:sz w:val="20"/>
          <w:szCs w:val="20"/>
        </w:rPr>
      </w:pPr>
    </w:p>
    <w:p w:rsidR="00D86D61" w:rsidRPr="00D86D61" w:rsidRDefault="00D86D61" w:rsidP="00D86D61">
      <w:pPr>
        <w:rPr>
          <w:rFonts w:cs="Arial"/>
          <w:sz w:val="20"/>
          <w:szCs w:val="20"/>
        </w:rPr>
      </w:pPr>
      <w:r w:rsidRPr="00D86D61">
        <w:rPr>
          <w:rFonts w:cs="Arial"/>
          <w:sz w:val="20"/>
          <w:szCs w:val="20"/>
        </w:rPr>
        <w:t>Подпись: ________________________________ /Должность, Фамилия И.О./</w:t>
      </w:r>
      <w:r w:rsidRPr="00D86D61">
        <w:rPr>
          <w:rFonts w:cs="Arial"/>
          <w:sz w:val="20"/>
          <w:szCs w:val="20"/>
        </w:rPr>
        <w:tab/>
      </w:r>
    </w:p>
    <w:p w:rsidR="00D86D61" w:rsidRPr="00D86D61" w:rsidRDefault="00D86D61" w:rsidP="00D86D61">
      <w:pPr>
        <w:rPr>
          <w:rFonts w:cs="Arial"/>
          <w:sz w:val="20"/>
          <w:szCs w:val="20"/>
        </w:rPr>
      </w:pPr>
      <w:r w:rsidRPr="00D86D61">
        <w:rPr>
          <w:rFonts w:cs="Arial"/>
          <w:sz w:val="20"/>
          <w:szCs w:val="20"/>
        </w:rPr>
        <w:tab/>
        <w:t>МП</w:t>
      </w:r>
    </w:p>
    <w:p w:rsidR="00D86D61" w:rsidRDefault="00D86D61">
      <w:pPr>
        <w:spacing w:before="0" w:line="276" w:lineRule="auto"/>
        <w:jc w:val="center"/>
        <w:rPr>
          <w:b/>
        </w:rPr>
      </w:pPr>
      <w:r>
        <w:rPr>
          <w:b/>
        </w:rPr>
        <w:br w:type="page"/>
      </w:r>
    </w:p>
    <w:p w:rsidR="00A83BB2" w:rsidRDefault="00A83BB2" w:rsidP="00A83BB2">
      <w:pPr>
        <w:spacing w:before="0" w:line="276" w:lineRule="auto"/>
        <w:jc w:val="right"/>
      </w:pPr>
      <w:r>
        <w:rPr>
          <w:b/>
        </w:rPr>
        <w:t>Приложение №1 к Форме 5</w:t>
      </w:r>
    </w:p>
    <w:p w:rsidR="00A83BB2" w:rsidRDefault="00D65A74" w:rsidP="00A83BB2">
      <w:pPr>
        <w:pStyle w:val="8"/>
        <w:numPr>
          <w:ilvl w:val="0"/>
          <w:numId w:val="0"/>
        </w:numPr>
        <w:ind w:left="1440"/>
      </w:pPr>
      <w:r>
        <w:rPr>
          <w:noProof/>
          <w:lang w:eastAsia="ru-RU"/>
        </w:rPr>
        <mc:AlternateContent>
          <mc:Choice Requires="wps">
            <w:drawing>
              <wp:anchor distT="0" distB="0" distL="114935" distR="114935" simplePos="0" relativeHeight="251660288" behindDoc="0" locked="0" layoutInCell="1" allowOverlap="1">
                <wp:simplePos x="0" y="0"/>
                <wp:positionH relativeFrom="column">
                  <wp:posOffset>-69215</wp:posOffset>
                </wp:positionH>
                <wp:positionV relativeFrom="paragraph">
                  <wp:posOffset>51435</wp:posOffset>
                </wp:positionV>
                <wp:extent cx="2259965" cy="340995"/>
                <wp:effectExtent l="1270" t="3810" r="571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965" cy="340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07B9" w:rsidRDefault="00C907B9" w:rsidP="00A83BB2">
                            <w:pPr>
                              <w:rPr>
                                <w:sz w:val="24"/>
                                <w:lang w:val="en-US"/>
                              </w:rPr>
                            </w:pPr>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5pt;margin-top:4.05pt;width:177.95pt;height:26.8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iaiwIAABw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" stroked="f">
                <v:fill opacity="0"/>
                <v:textbox inset="0,0,0,0">
                  <w:txbxContent>
                    <w:p w:rsidR="00C907B9" w:rsidRDefault="00C907B9" w:rsidP="00A83BB2">
                      <w:pPr>
                        <w:rPr>
                          <w:sz w:val="24"/>
                          <w:lang w:val="en-US"/>
                        </w:rPr>
                      </w:pPr>
                      <w:r>
                        <w:rPr>
                          <w:sz w:val="24"/>
                          <w:lang w:val="en-US"/>
                        </w:rPr>
                        <w:t>&lt;</w:t>
                      </w:r>
                      <w:r>
                        <w:rPr>
                          <w:sz w:val="24"/>
                        </w:rPr>
                        <w:t>Наименование организации</w:t>
                      </w:r>
                      <w:r>
                        <w:rPr>
                          <w:sz w:val="24"/>
                          <w:lang w:val="en-US"/>
                        </w:rPr>
                        <w:t>&gt;</w:t>
                      </w:r>
                    </w:p>
                  </w:txbxContent>
                </v:textbox>
              </v:shape>
            </w:pict>
          </mc:Fallback>
        </mc:AlternateConten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Default="00211FE1" w:rsidP="00A83BB2">
      <w:pPr>
        <w:jc w:val="center"/>
        <w:rPr>
          <w:szCs w:val="22"/>
        </w:rPr>
      </w:pPr>
      <w:r>
        <w:rPr>
          <w:szCs w:val="22"/>
        </w:rPr>
        <w:t>н</w:t>
      </w:r>
      <w:r w:rsidR="009B57F9">
        <w:rPr>
          <w:szCs w:val="22"/>
        </w:rPr>
        <w:t xml:space="preserve">а </w:t>
      </w:r>
      <w:r w:rsidR="009B57F9" w:rsidRPr="005B5135">
        <w:rPr>
          <w:szCs w:val="22"/>
        </w:rPr>
        <w:t xml:space="preserve">выполнение </w:t>
      </w:r>
      <w:r w:rsidRPr="00211FE1">
        <w:rPr>
          <w:szCs w:val="22"/>
        </w:rPr>
        <w:t>работ по ремонту кровельного покрытия зданий ОАО «Славнефть-ЯНОС»</w:t>
      </w:r>
    </w:p>
    <w:p w:rsidR="00211FE1" w:rsidRDefault="00211FE1"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C32718" w:rsidP="008C01D0">
            <w:pPr>
              <w:rPr>
                <w:rFonts w:ascii="Times New Roman" w:hAnsi="Times New Roman"/>
                <w:b/>
                <w:bCs/>
                <w:sz w:val="24"/>
              </w:rPr>
            </w:pPr>
            <w:r>
              <w:rPr>
                <w:rFonts w:ascii="Times New Roman" w:hAnsi="Times New Roman"/>
                <w:b/>
                <w:sz w:val="24"/>
              </w:rPr>
              <w:t>Справка об опыте работы за 2015-2017</w:t>
            </w:r>
            <w:r w:rsidR="008C01D0" w:rsidRPr="009E5CE0">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D17888" w:rsidRDefault="00132B25" w:rsidP="00D17888">
            <w:pPr>
              <w:keepNext/>
              <w:keepLines/>
              <w:widowControl w:val="0"/>
              <w:jc w:val="right"/>
              <w:outlineLvl w:val="3"/>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D17888">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D17888">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D17888">
        <w:trPr>
          <w:trHeight w:val="690"/>
        </w:trPr>
        <w:tc>
          <w:tcPr>
            <w:tcW w:w="564" w:type="dxa"/>
            <w:tcBorders>
              <w:top w:val="single" w:sz="4" w:space="0" w:color="auto"/>
              <w:bottom w:val="single" w:sz="4" w:space="0" w:color="auto"/>
            </w:tcBorders>
            <w:shd w:val="clear" w:color="auto" w:fill="auto"/>
            <w:noWrap/>
            <w:vAlign w:val="bottom"/>
          </w:tcPr>
          <w:p w:rsidR="00132B25" w:rsidRPr="00152267" w:rsidRDefault="00132B25" w:rsidP="00A03AA2">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tcPr>
          <w:p w:rsidR="00132B25" w:rsidRPr="00152267" w:rsidRDefault="00132B25" w:rsidP="00A03AA2">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tcPr>
          <w:p w:rsidR="005F4ED2" w:rsidRPr="00152267" w:rsidRDefault="005F4ED2" w:rsidP="00A03AA2">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tcPr>
          <w:p w:rsidR="00132B25" w:rsidRPr="00152267" w:rsidRDefault="00132B25" w:rsidP="00A03AA2">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D17888">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3278D4">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r w:rsidR="00833345">
        <w:rPr>
          <w:rFonts w:ascii="Times New Roman" w:hAnsi="Times New Roman"/>
          <w:sz w:val="24"/>
        </w:rPr>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043A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t>Форма 12</w:t>
            </w:r>
          </w:p>
          <w:p w:rsidR="00833345" w:rsidRPr="008212CE" w:rsidRDefault="00833345" w:rsidP="00043A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833345" w:rsidRPr="008212CE" w:rsidTr="00043A92">
        <w:trPr>
          <w:trHeight w:val="525"/>
        </w:trPr>
        <w:tc>
          <w:tcPr>
            <w:tcW w:w="520" w:type="dxa"/>
            <w:tcBorders>
              <w:top w:val="nil"/>
              <w:left w:val="nil"/>
              <w:bottom w:val="nil"/>
              <w:right w:val="nil"/>
            </w:tcBorders>
            <w:shd w:val="clear" w:color="auto" w:fill="auto"/>
            <w:vAlign w:val="center"/>
            <w:hideMark/>
          </w:tcPr>
          <w:p w:rsidR="00833345" w:rsidRPr="008212CE" w:rsidRDefault="00833345" w:rsidP="00043A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833345" w:rsidRPr="009B57F9" w:rsidRDefault="009B57F9" w:rsidP="00211FE1">
            <w:pPr>
              <w:rPr>
                <w:b/>
                <w:bCs/>
                <w:sz w:val="20"/>
                <w:szCs w:val="20"/>
              </w:rPr>
            </w:pPr>
            <w:r>
              <w:rPr>
                <w:sz w:val="20"/>
                <w:szCs w:val="20"/>
              </w:rPr>
              <w:t>Р</w:t>
            </w:r>
            <w:r w:rsidRPr="009B57F9">
              <w:rPr>
                <w:sz w:val="20"/>
                <w:szCs w:val="20"/>
              </w:rPr>
              <w:t>абот</w:t>
            </w:r>
            <w:r>
              <w:rPr>
                <w:sz w:val="20"/>
                <w:szCs w:val="20"/>
              </w:rPr>
              <w:t>ы</w:t>
            </w:r>
            <w:r w:rsidRPr="009B57F9">
              <w:rPr>
                <w:sz w:val="20"/>
                <w:szCs w:val="20"/>
              </w:rPr>
              <w:t xml:space="preserve"> по </w:t>
            </w:r>
            <w:r w:rsidR="00211FE1" w:rsidRPr="00211FE1">
              <w:rPr>
                <w:sz w:val="20"/>
                <w:szCs w:val="20"/>
              </w:rPr>
              <w:t>ремонту кровельного покрытия зданий ОАО «Славнефть-ЯНОС»</w:t>
            </w:r>
          </w:p>
        </w:tc>
      </w:tr>
      <w:tr w:rsidR="00833345" w:rsidRPr="008212CE" w:rsidTr="00043A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043A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043A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043A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043A92">
            <w:r w:rsidRPr="008212CE">
              <w:rPr>
                <w:szCs w:val="22"/>
              </w:rPr>
              <w:t>Предложение претендента (оферта)</w:t>
            </w:r>
          </w:p>
        </w:tc>
      </w:tr>
      <w:tr w:rsidR="00833345" w:rsidRPr="008212CE" w:rsidTr="00043A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043A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043A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043A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043A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043A92">
            <w:r w:rsidRPr="008212CE">
              <w:rPr>
                <w:szCs w:val="22"/>
              </w:rPr>
              <w:t>сумма, руб.</w:t>
            </w:r>
          </w:p>
        </w:tc>
      </w:tr>
      <w:tr w:rsidR="00833345" w:rsidRPr="008212CE" w:rsidTr="00043A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043A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xml:space="preserve"> - </w:t>
            </w:r>
          </w:p>
        </w:tc>
      </w:tr>
      <w:tr w:rsidR="00833345" w:rsidRPr="008212CE" w:rsidTr="00043A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043A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043A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043A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043A92">
            <w:r w:rsidRPr="008212CE">
              <w:rPr>
                <w:szCs w:val="22"/>
              </w:rPr>
              <w:t> </w:t>
            </w:r>
          </w:p>
        </w:tc>
      </w:tr>
      <w:tr w:rsidR="00833345" w:rsidRPr="008212CE" w:rsidTr="00043A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875BDC" w:rsidP="00A54FA9">
            <w:pPr>
              <w:rPr>
                <w:i/>
                <w:iCs/>
              </w:rPr>
            </w:pPr>
            <w:r w:rsidRPr="00A54FA9">
              <w:rPr>
                <w:i/>
                <w:iCs/>
                <w:szCs w:val="22"/>
              </w:rPr>
              <w:t>1</w:t>
            </w:r>
            <w:r w:rsidR="00A54FA9">
              <w:rPr>
                <w:i/>
                <w:iCs/>
                <w:szCs w:val="22"/>
              </w:rPr>
              <w:t>5,9</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A54FA9" w:rsidP="00043A92">
            <w:pPr>
              <w:rPr>
                <w:i/>
                <w:iCs/>
              </w:rPr>
            </w:pPr>
            <w:r>
              <w:rPr>
                <w:i/>
                <w:iCs/>
                <w:szCs w:val="22"/>
              </w:rPr>
              <w:t>3,1</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ЗП * (Кст - 1)</w:t>
            </w:r>
          </w:p>
        </w:tc>
      </w:tr>
      <w:tr w:rsidR="00833345" w:rsidRPr="008212CE" w:rsidTr="00043A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A54FA9" w:rsidP="00875BDC">
            <w:pPr>
              <w:rPr>
                <w:i/>
                <w:iCs/>
              </w:rPr>
            </w:pPr>
            <w:r>
              <w:rPr>
                <w:i/>
                <w:iCs/>
                <w:szCs w:val="22"/>
              </w:rPr>
              <w:t>16,0</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 пп.2-3 * НР</w:t>
            </w:r>
          </w:p>
        </w:tc>
      </w:tr>
      <w:tr w:rsidR="00833345" w:rsidRPr="008212CE" w:rsidTr="00043A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A54FA9" w:rsidP="00043A92">
            <w:pPr>
              <w:rPr>
                <w:i/>
                <w:iCs/>
              </w:rPr>
            </w:pPr>
            <w:r>
              <w:rPr>
                <w:i/>
                <w:iCs/>
                <w:szCs w:val="22"/>
              </w:rPr>
              <w:t>8,0</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 пп.2-3 * СП</w:t>
            </w:r>
          </w:p>
        </w:tc>
      </w:tr>
      <w:tr w:rsidR="00833345" w:rsidRPr="008212CE" w:rsidTr="00043A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A54FA9" w:rsidP="00043A92">
            <w:pPr>
              <w:rPr>
                <w:i/>
                <w:iCs/>
              </w:rPr>
            </w:pPr>
            <w:r>
              <w:rPr>
                <w:i/>
                <w:iCs/>
                <w:szCs w:val="22"/>
              </w:rPr>
              <w:t>41,0</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МАТ-П</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A54FA9" w:rsidP="00043A92">
            <w:pPr>
              <w:rPr>
                <w:i/>
                <w:iCs/>
              </w:rPr>
            </w:pPr>
            <w:r>
              <w:rPr>
                <w:i/>
                <w:iCs/>
                <w:szCs w:val="22"/>
              </w:rPr>
              <w:t>5</w:t>
            </w:r>
            <w:r w:rsidR="00833345" w:rsidRPr="00A54FA9">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МАТ-П * Ктр.п</w:t>
            </w:r>
          </w:p>
        </w:tc>
      </w:tr>
      <w:tr w:rsidR="00833345" w:rsidRPr="008212CE" w:rsidTr="00043A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833345" w:rsidP="00043A92">
            <w:pPr>
              <w:rPr>
                <w:i/>
                <w:iCs/>
              </w:rPr>
            </w:pPr>
            <w:r w:rsidRPr="00A54FA9">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ОБ</w:t>
            </w:r>
          </w:p>
        </w:tc>
      </w:tr>
      <w:tr w:rsidR="00833345" w:rsidRPr="008212CE" w:rsidTr="00043A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A54FA9" w:rsidRDefault="00833345" w:rsidP="00043A92">
            <w:pPr>
              <w:rPr>
                <w:i/>
                <w:iCs/>
              </w:rPr>
            </w:pPr>
            <w:r w:rsidRPr="00A54FA9">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ОБ * Ктр.об</w:t>
            </w:r>
          </w:p>
        </w:tc>
      </w:tr>
      <w:tr w:rsidR="00833345" w:rsidRPr="008212CE" w:rsidTr="00043A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МАТ-Зак в расчете не учитываются</w:t>
            </w:r>
          </w:p>
        </w:tc>
      </w:tr>
      <w:tr w:rsidR="00833345" w:rsidRPr="008212CE" w:rsidTr="00043A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r w:rsidRPr="008212CE">
              <w:rPr>
                <w:szCs w:val="22"/>
              </w:rPr>
              <w:t>МАТ-Зак * Ктр.з</w:t>
            </w:r>
          </w:p>
        </w:tc>
      </w:tr>
      <w:tr w:rsidR="00833345" w:rsidRPr="008212CE" w:rsidTr="00095847">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043A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A54FA9" w:rsidP="00043A92">
            <w:pPr>
              <w:rPr>
                <w:i/>
                <w:iCs/>
              </w:rPr>
            </w:pPr>
            <w:r>
              <w:rPr>
                <w:i/>
                <w:iCs/>
                <w:szCs w:val="22"/>
              </w:rPr>
              <w:t>11</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043A92">
            <w:pPr>
              <w:rPr>
                <w:color w:val="000000"/>
              </w:rPr>
            </w:pPr>
            <w:r w:rsidRPr="008212CE">
              <w:rPr>
                <w:color w:val="000000"/>
                <w:szCs w:val="22"/>
              </w:rPr>
              <w:t>ЭММ</w:t>
            </w:r>
          </w:p>
        </w:tc>
      </w:tr>
      <w:tr w:rsidR="00833345" w:rsidRPr="008212CE" w:rsidTr="00095847">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95847">
            <w:pPr>
              <w:rPr>
                <w:color w:val="000000"/>
              </w:rPr>
            </w:pPr>
            <w:r w:rsidRPr="008212CE">
              <w:rPr>
                <w:color w:val="000000"/>
                <w:szCs w:val="22"/>
              </w:rPr>
              <w:t>1</w:t>
            </w:r>
            <w:r w:rsidR="00095847">
              <w:rPr>
                <w:color w:val="000000"/>
                <w:szCs w:val="22"/>
              </w:rPr>
              <w:t>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043A92">
            <w:pPr>
              <w:rPr>
                <w:color w:val="000000"/>
              </w:rPr>
            </w:pPr>
            <w:r w:rsidRPr="008212CE">
              <w:rPr>
                <w:color w:val="000000"/>
                <w:szCs w:val="22"/>
              </w:rPr>
              <w:t> </w:t>
            </w:r>
          </w:p>
        </w:tc>
      </w:tr>
      <w:tr w:rsidR="00833345" w:rsidRPr="008212CE" w:rsidTr="00095847">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095847">
            <w:pPr>
              <w:rPr>
                <w:color w:val="000000"/>
              </w:rPr>
            </w:pPr>
            <w:r w:rsidRPr="008212CE">
              <w:rPr>
                <w:color w:val="000000"/>
                <w:szCs w:val="22"/>
              </w:rPr>
              <w:t>1</w:t>
            </w:r>
            <w:r w:rsidR="00095847">
              <w:rPr>
                <w:color w:val="000000"/>
                <w:szCs w:val="22"/>
              </w:rPr>
              <w:t>4</w:t>
            </w:r>
          </w:p>
        </w:tc>
        <w:tc>
          <w:tcPr>
            <w:tcW w:w="5600" w:type="dxa"/>
            <w:tcBorders>
              <w:top w:val="single" w:sz="4" w:space="0" w:color="auto"/>
              <w:left w:val="nil"/>
              <w:bottom w:val="single" w:sz="8" w:space="0" w:color="auto"/>
              <w:right w:val="nil"/>
            </w:tcBorders>
            <w:shd w:val="clear" w:color="000000" w:fill="EAF1DD"/>
            <w:vAlign w:val="center"/>
            <w:hideMark/>
          </w:tcPr>
          <w:p w:rsidR="00833345" w:rsidRPr="008212CE" w:rsidRDefault="00833345" w:rsidP="00043A92">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043A92">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833345" w:rsidRPr="008212CE" w:rsidRDefault="00833345" w:rsidP="00043A92">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833345" w:rsidRPr="008212CE" w:rsidRDefault="00833345" w:rsidP="00043A92">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833345" w:rsidRPr="008212CE" w:rsidRDefault="00833345" w:rsidP="00043A92">
            <w:r w:rsidRPr="008212CE">
              <w:rPr>
                <w:szCs w:val="22"/>
              </w:rPr>
              <w:t>∑ пп. 2-14</w:t>
            </w:r>
          </w:p>
        </w:tc>
      </w:tr>
      <w:tr w:rsidR="00833345" w:rsidRPr="008212CE" w:rsidTr="00043A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095847">
            <w:pPr>
              <w:rPr>
                <w:color w:val="000000"/>
              </w:rPr>
            </w:pPr>
            <w:r w:rsidRPr="008212CE">
              <w:rPr>
                <w:color w:val="000000"/>
                <w:szCs w:val="22"/>
              </w:rPr>
              <w:t>1</w:t>
            </w:r>
            <w:r w:rsidR="00095847">
              <w:rPr>
                <w:color w:val="000000"/>
                <w:szCs w:val="22"/>
              </w:rPr>
              <w:t>5</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043A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043A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043A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043A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043A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C5D" w:rsidRDefault="00DA0C5D" w:rsidP="00FB07D9">
      <w:pPr>
        <w:spacing w:before="0"/>
      </w:pPr>
      <w:r>
        <w:separator/>
      </w:r>
    </w:p>
  </w:endnote>
  <w:endnote w:type="continuationSeparator" w:id="0">
    <w:p w:rsidR="00DA0C5D" w:rsidRDefault="00DA0C5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7B9" w:rsidRDefault="00C907B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C5D" w:rsidRDefault="00DA0C5D" w:rsidP="00FB07D9">
      <w:pPr>
        <w:spacing w:before="0"/>
      </w:pPr>
      <w:r>
        <w:separator/>
      </w:r>
    </w:p>
  </w:footnote>
  <w:footnote w:type="continuationSeparator" w:id="0">
    <w:p w:rsidR="00DA0C5D" w:rsidRDefault="00DA0C5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A92"/>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3CA"/>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847"/>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017"/>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456"/>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CDC"/>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3EE"/>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1F795F"/>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1"/>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B9A"/>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3CAA"/>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1F"/>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3F9"/>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8D4"/>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A61"/>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92C"/>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CEE"/>
    <w:rsid w:val="00460E74"/>
    <w:rsid w:val="00460F22"/>
    <w:rsid w:val="00461197"/>
    <w:rsid w:val="0046292D"/>
    <w:rsid w:val="004635FA"/>
    <w:rsid w:val="00463B32"/>
    <w:rsid w:val="0046416A"/>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215"/>
    <w:rsid w:val="004842D6"/>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978C7"/>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0EEC"/>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135"/>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243"/>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6F2B"/>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CC6"/>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BE0"/>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9"/>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2CB8"/>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2DD"/>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A7FBB"/>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6AB9"/>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1E1"/>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710"/>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437"/>
    <w:rsid w:val="008A2894"/>
    <w:rsid w:val="008A28A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1DA0"/>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96C"/>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D8A"/>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24C"/>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10D"/>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0C2"/>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7F9"/>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A9"/>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ACC"/>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6EAD"/>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8EF"/>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1F7"/>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17"/>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5EFB"/>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7C1"/>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18"/>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967"/>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BBD"/>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7B9"/>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7B5"/>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258"/>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888"/>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261"/>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A74"/>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6D61"/>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0C5D"/>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EBC"/>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4E"/>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778"/>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2FAA"/>
    <w:rsid w:val="00E83282"/>
    <w:rsid w:val="00E83B4A"/>
    <w:rsid w:val="00E841EC"/>
    <w:rsid w:val="00E84273"/>
    <w:rsid w:val="00E846DC"/>
    <w:rsid w:val="00E847FB"/>
    <w:rsid w:val="00E848DF"/>
    <w:rsid w:val="00E849AA"/>
    <w:rsid w:val="00E8516A"/>
    <w:rsid w:val="00E85A30"/>
    <w:rsid w:val="00E85BCF"/>
    <w:rsid w:val="00E85DE8"/>
    <w:rsid w:val="00E866F9"/>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887"/>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24A5"/>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71"/>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5F51"/>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38E309C-5C0C-4260-8208-DE636956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styleId="aff7">
    <w:name w:val="FollowedHyperlink"/>
    <w:basedOn w:val="a7"/>
    <w:uiPriority w:val="99"/>
    <w:semiHidden/>
    <w:unhideWhenUsed/>
    <w:rsid w:val="004978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PDO137-KR-2018_636585237895417665.7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3893</Words>
  <Characters>22191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2018-04-05T08:11:00Z</cp:lastPrinted>
  <dcterms:created xsi:type="dcterms:W3CDTF">2018-04-05T08:19:00Z</dcterms:created>
  <dcterms:modified xsi:type="dcterms:W3CDTF">2018-04-05T08:19:00Z</dcterms:modified>
</cp:coreProperties>
</file>